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w w:val="90"/>
          <w:sz w:val="72"/>
          <w:szCs w:val="72"/>
        </w:rPr>
      </w:pPr>
      <w:r>
        <w:rPr>
          <w:rFonts w:hint="eastAsia" w:ascii="黑体" w:hAnsi="黑体" w:eastAsia="黑体" w:cs="黑体"/>
          <w:sz w:val="72"/>
          <w:szCs w:val="72"/>
        </w:rPr>
        <w:t>全国职业院校技能大赛</w:t>
      </w:r>
    </w:p>
    <w:p>
      <w:pPr>
        <w:snapToGrid w:val="0"/>
        <w:spacing w:line="510" w:lineRule="atLeast"/>
        <w:jc w:val="center"/>
        <w:rPr>
          <w:rFonts w:hint="eastAsia" w:ascii="方正小标宋简体" w:hAnsi="方正小标宋简体" w:eastAsia="方正小标宋简体" w:cs="方正小标宋简体"/>
          <w:sz w:val="52"/>
          <w:szCs w:val="52"/>
          <w:lang w:eastAsia="zh-CN"/>
        </w:rPr>
      </w:pPr>
      <w:r>
        <w:rPr>
          <w:rFonts w:hint="eastAsia" w:ascii="黑体" w:hAnsi="黑体" w:eastAsia="黑体" w:cs="黑体"/>
          <w:sz w:val="72"/>
          <w:szCs w:val="72"/>
          <w:lang w:val="en-US" w:eastAsia="zh-CN"/>
        </w:rPr>
        <w:t>竞赛任务书 赛题九</w:t>
      </w:r>
    </w:p>
    <w:p>
      <w:pPr>
        <w:snapToGrid w:val="0"/>
        <w:spacing w:line="532"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napToGrid w:val="0"/>
        <w:spacing w:line="243" w:lineRule="atLeast"/>
        <w:jc w:val="center"/>
        <w:rPr>
          <w:rFonts w:ascii="Times New Roman" w:hAnsi="Times New Roman" w:eastAsia="宋体" w:cs="Times New Roman"/>
        </w:rPr>
      </w:pPr>
    </w:p>
    <w:p>
      <w:pPr>
        <w:spacing w:line="800" w:lineRule="exact"/>
        <w:ind w:left="839"/>
        <w:rPr>
          <w:rFonts w:hint="eastAsia" w:ascii="黑体" w:hAnsi="黑体" w:eastAsia="黑体" w:cs="黑体"/>
          <w:sz w:val="32"/>
          <w:szCs w:val="24"/>
          <w:u w:val="single"/>
        </w:rPr>
      </w:pPr>
      <w:r>
        <w:rPr>
          <w:rFonts w:hint="eastAsia" w:ascii="黑体" w:hAnsi="黑体" w:eastAsia="黑体" w:cs="黑体"/>
          <w:sz w:val="32"/>
          <w:szCs w:val="24"/>
        </w:rPr>
        <w:t>赛项名称：</w:t>
      </w:r>
      <w:r>
        <w:rPr>
          <w:rFonts w:hint="eastAsia" w:ascii="黑体" w:hAnsi="黑体" w:eastAsia="黑体" w:cs="黑体"/>
          <w:sz w:val="32"/>
          <w:szCs w:val="24"/>
          <w:u w:val="single"/>
        </w:rPr>
        <w:t xml:space="preserve">   </w:t>
      </w:r>
      <w:r>
        <w:rPr>
          <w:rFonts w:hint="eastAsia" w:ascii="黑体" w:hAnsi="黑体" w:eastAsia="黑体" w:cs="黑体"/>
          <w:sz w:val="32"/>
          <w:szCs w:val="24"/>
          <w:u w:val="single"/>
          <w:lang w:val="en-US" w:eastAsia="zh-CN"/>
        </w:rPr>
        <w:t xml:space="preserve">  </w:t>
      </w:r>
      <w:r>
        <w:rPr>
          <w:rFonts w:hint="eastAsia" w:ascii="黑体" w:hAnsi="黑体" w:eastAsia="黑体" w:cs="黑体"/>
          <w:sz w:val="32"/>
          <w:szCs w:val="24"/>
          <w:u w:val="single"/>
        </w:rPr>
        <w:t xml:space="preserve">工业网络智能控制与维护 </w:t>
      </w:r>
      <w:r>
        <w:rPr>
          <w:rFonts w:hint="eastAsia" w:ascii="黑体" w:hAnsi="黑体" w:eastAsia="黑体" w:cs="黑体"/>
          <w:sz w:val="32"/>
          <w:szCs w:val="24"/>
          <w:u w:val="single"/>
          <w:lang w:val="en-US" w:eastAsia="zh-CN"/>
        </w:rPr>
        <w:t xml:space="preserve">  </w:t>
      </w:r>
      <w:r>
        <w:rPr>
          <w:rFonts w:hint="eastAsia" w:ascii="黑体" w:hAnsi="黑体" w:eastAsia="黑体" w:cs="黑体"/>
          <w:sz w:val="32"/>
          <w:szCs w:val="24"/>
          <w:u w:val="single"/>
        </w:rPr>
        <w:t xml:space="preserve">  </w:t>
      </w:r>
    </w:p>
    <w:p>
      <w:pPr>
        <w:spacing w:line="800" w:lineRule="exact"/>
        <w:ind w:left="839"/>
        <w:jc w:val="left"/>
        <w:rPr>
          <w:rFonts w:ascii="Arial" w:hAnsi="Arial" w:eastAsia="黑体" w:cs="Arial"/>
          <w:sz w:val="32"/>
          <w:szCs w:val="24"/>
          <w:u w:val="single"/>
        </w:rPr>
      </w:pPr>
      <w:r>
        <w:rPr>
          <w:rFonts w:hint="eastAsia" w:ascii="黑体" w:hAnsi="黑体" w:eastAsia="黑体" w:cs="黑体"/>
          <w:sz w:val="32"/>
          <w:szCs w:val="24"/>
        </w:rPr>
        <w:t>英文名称：</w:t>
      </w:r>
      <w:r>
        <w:rPr>
          <w:rFonts w:ascii="Arial" w:hAnsi="Arial" w:eastAsia="黑体" w:cs="Arial"/>
          <w:sz w:val="32"/>
          <w:szCs w:val="24"/>
          <w:u w:val="single"/>
        </w:rPr>
        <w:t>Intelligent</w:t>
      </w:r>
      <w:r>
        <w:rPr>
          <w:rFonts w:hint="eastAsia" w:ascii="Arial" w:hAnsi="Arial" w:eastAsia="黑体" w:cs="Arial"/>
          <w:sz w:val="32"/>
          <w:szCs w:val="24"/>
          <w:u w:val="single"/>
        </w:rPr>
        <w:t xml:space="preserve"> </w:t>
      </w:r>
      <w:r>
        <w:rPr>
          <w:rFonts w:ascii="Arial" w:hAnsi="Arial" w:eastAsia="黑体" w:cs="Arial"/>
          <w:sz w:val="32"/>
          <w:szCs w:val="24"/>
          <w:u w:val="single"/>
        </w:rPr>
        <w:t>Control</w:t>
      </w:r>
      <w:r>
        <w:rPr>
          <w:rFonts w:hint="eastAsia" w:ascii="Arial" w:hAnsi="Arial" w:eastAsia="黑体" w:cs="Arial"/>
          <w:sz w:val="32"/>
          <w:szCs w:val="24"/>
          <w:u w:val="single"/>
        </w:rPr>
        <w:t xml:space="preserve"> </w:t>
      </w:r>
      <w:r>
        <w:rPr>
          <w:rFonts w:ascii="Arial" w:hAnsi="Arial" w:eastAsia="黑体" w:cs="Arial"/>
          <w:sz w:val="32"/>
          <w:szCs w:val="24"/>
          <w:u w:val="single"/>
        </w:rPr>
        <w:t>and</w:t>
      </w:r>
      <w:r>
        <w:rPr>
          <w:rFonts w:hint="eastAsia" w:ascii="Arial" w:hAnsi="Arial" w:eastAsia="黑体" w:cs="Arial"/>
          <w:sz w:val="32"/>
          <w:szCs w:val="24"/>
          <w:u w:val="single"/>
        </w:rPr>
        <w:t xml:space="preserve"> </w:t>
      </w:r>
      <w:r>
        <w:rPr>
          <w:rFonts w:ascii="Arial" w:hAnsi="Arial" w:eastAsia="黑体" w:cs="Arial"/>
          <w:sz w:val="32"/>
          <w:szCs w:val="24"/>
          <w:u w:val="single"/>
        </w:rPr>
        <w:t>Maintena</w:t>
      </w:r>
      <w:r>
        <w:rPr>
          <w:rFonts w:hint="eastAsia" w:ascii="Arial" w:hAnsi="Arial" w:eastAsia="黑体" w:cs="Arial"/>
          <w:sz w:val="32"/>
          <w:szCs w:val="24"/>
          <w:u w:val="single"/>
        </w:rPr>
        <w:t>n</w:t>
      </w:r>
      <w:r>
        <w:rPr>
          <w:rFonts w:ascii="Arial" w:hAnsi="Arial" w:eastAsia="黑体" w:cs="Arial"/>
          <w:sz w:val="32"/>
          <w:szCs w:val="24"/>
          <w:u w:val="single"/>
        </w:rPr>
        <w:t>ce</w:t>
      </w:r>
      <w:r>
        <w:rPr>
          <w:rFonts w:hint="eastAsia" w:ascii="Arial" w:hAnsi="Arial" w:eastAsia="黑体" w:cs="Arial"/>
          <w:sz w:val="32"/>
          <w:szCs w:val="24"/>
          <w:u w:val="single"/>
        </w:rPr>
        <w:t xml:space="preserve"> </w:t>
      </w:r>
    </w:p>
    <w:p>
      <w:pPr>
        <w:spacing w:line="800" w:lineRule="exact"/>
        <w:ind w:left="839" w:firstLine="1600" w:firstLineChars="500"/>
        <w:jc w:val="left"/>
        <w:rPr>
          <w:rFonts w:ascii="黑体" w:hAnsi="黑体" w:eastAsia="黑体" w:cs="黑体"/>
          <w:sz w:val="32"/>
          <w:szCs w:val="24"/>
        </w:rPr>
      </w:pPr>
      <w:r>
        <w:rPr>
          <w:rFonts w:hint="eastAsia" w:ascii="Arial" w:hAnsi="Arial" w:eastAsia="黑体" w:cs="Arial"/>
          <w:sz w:val="32"/>
          <w:szCs w:val="24"/>
          <w:u w:val="single"/>
        </w:rPr>
        <w:t xml:space="preserve">       </w:t>
      </w:r>
      <w:r>
        <w:rPr>
          <w:rFonts w:ascii="Arial" w:hAnsi="Arial" w:eastAsia="黑体" w:cs="Arial"/>
          <w:sz w:val="32"/>
          <w:szCs w:val="24"/>
          <w:u w:val="single"/>
        </w:rPr>
        <w:t>of</w:t>
      </w:r>
      <w:r>
        <w:rPr>
          <w:rFonts w:hint="eastAsia" w:ascii="Arial" w:hAnsi="Arial" w:eastAsia="黑体" w:cs="Arial"/>
          <w:sz w:val="32"/>
          <w:szCs w:val="24"/>
          <w:u w:val="single"/>
        </w:rPr>
        <w:t xml:space="preserve"> </w:t>
      </w:r>
      <w:r>
        <w:rPr>
          <w:rFonts w:ascii="Arial" w:hAnsi="Arial" w:eastAsia="黑体" w:cs="Arial"/>
          <w:sz w:val="32"/>
          <w:szCs w:val="24"/>
          <w:u w:val="single"/>
        </w:rPr>
        <w:t>Industrial</w:t>
      </w:r>
      <w:r>
        <w:rPr>
          <w:rFonts w:hint="eastAsia" w:ascii="Arial" w:hAnsi="Arial" w:eastAsia="黑体" w:cs="Arial"/>
          <w:sz w:val="32"/>
          <w:szCs w:val="24"/>
          <w:u w:val="single"/>
        </w:rPr>
        <w:t xml:space="preserve"> </w:t>
      </w:r>
      <w:r>
        <w:rPr>
          <w:rFonts w:ascii="Arial" w:hAnsi="Arial" w:eastAsia="黑体" w:cs="Arial"/>
          <w:sz w:val="32"/>
          <w:szCs w:val="24"/>
          <w:u w:val="single"/>
        </w:rPr>
        <w:t>Networks</w:t>
      </w:r>
      <w:r>
        <w:rPr>
          <w:rFonts w:hint="eastAsia" w:ascii="Arial" w:hAnsi="Arial" w:eastAsia="黑体" w:cs="Arial"/>
          <w:sz w:val="32"/>
          <w:szCs w:val="24"/>
          <w:u w:val="single"/>
        </w:rPr>
        <w:t xml:space="preserve">      </w:t>
      </w:r>
    </w:p>
    <w:p>
      <w:pPr>
        <w:spacing w:line="800" w:lineRule="exact"/>
        <w:ind w:left="839"/>
        <w:rPr>
          <w:rFonts w:hint="eastAsia" w:ascii="黑体" w:hAnsi="黑体" w:eastAsia="黑体" w:cs="黑体"/>
          <w:sz w:val="32"/>
          <w:szCs w:val="24"/>
        </w:rPr>
      </w:pPr>
      <w:r>
        <w:rPr>
          <w:rFonts w:hint="eastAsia" w:ascii="黑体" w:hAnsi="黑体" w:eastAsia="黑体" w:cs="黑体"/>
          <w:sz w:val="32"/>
          <w:szCs w:val="24"/>
          <w:lang w:val="en-US" w:eastAsia="zh-CN"/>
        </w:rPr>
        <w:t>赛项组别</w:t>
      </w:r>
      <w:r>
        <w:rPr>
          <w:rFonts w:hint="eastAsia" w:ascii="黑体" w:hAnsi="黑体" w:eastAsia="黑体" w:cs="黑体"/>
          <w:sz w:val="32"/>
          <w:szCs w:val="24"/>
        </w:rPr>
        <w:t>：</w:t>
      </w:r>
      <w:r>
        <w:rPr>
          <w:rFonts w:hint="eastAsia" w:ascii="黑体" w:hAnsi="黑体" w:eastAsia="黑体" w:cs="黑体"/>
          <w:sz w:val="32"/>
          <w:szCs w:val="24"/>
          <w:u w:val="single"/>
        </w:rPr>
        <w:t xml:space="preserve">     </w:t>
      </w:r>
      <w:r>
        <w:rPr>
          <w:rFonts w:hint="eastAsia" w:ascii="黑体" w:hAnsi="黑体" w:eastAsia="黑体" w:cs="黑体"/>
          <w:sz w:val="32"/>
          <w:szCs w:val="24"/>
          <w:u w:val="single"/>
          <w:lang w:val="en-US" w:eastAsia="zh-CN"/>
        </w:rPr>
        <w:t>高等职业教育（学生赛）</w:t>
      </w:r>
      <w:r>
        <w:rPr>
          <w:rFonts w:hint="eastAsia" w:ascii="黑体" w:hAnsi="黑体" w:eastAsia="黑体" w:cs="黑体"/>
          <w:sz w:val="32"/>
          <w:szCs w:val="24"/>
          <w:u w:val="single"/>
        </w:rPr>
        <w:t xml:space="preserve">     </w:t>
      </w:r>
    </w:p>
    <w:p>
      <w:pPr>
        <w:spacing w:line="800" w:lineRule="exact"/>
        <w:ind w:left="839"/>
        <w:rPr>
          <w:rFonts w:hint="eastAsia" w:ascii="黑体" w:hAnsi="黑体" w:eastAsia="黑体" w:cs="黑体"/>
          <w:sz w:val="32"/>
          <w:szCs w:val="24"/>
        </w:rPr>
      </w:pPr>
      <w:r>
        <w:rPr>
          <w:rFonts w:hint="eastAsia" w:ascii="黑体" w:hAnsi="黑体" w:eastAsia="黑体" w:cs="黑体"/>
          <w:sz w:val="32"/>
          <w:szCs w:val="24"/>
        </w:rPr>
        <w:t>赛项编号：</w:t>
      </w:r>
      <w:r>
        <w:rPr>
          <w:rFonts w:hint="eastAsia" w:ascii="黑体" w:hAnsi="黑体" w:eastAsia="黑体" w:cs="黑体"/>
          <w:sz w:val="32"/>
          <w:szCs w:val="24"/>
          <w:u w:val="single"/>
        </w:rPr>
        <w:t xml:space="preserve">           </w:t>
      </w:r>
      <w:r>
        <w:rPr>
          <w:rFonts w:hint="eastAsia" w:ascii="黑体" w:hAnsi="黑体" w:eastAsia="黑体" w:cs="黑体"/>
          <w:sz w:val="32"/>
          <w:szCs w:val="24"/>
          <w:u w:val="single"/>
          <w:lang w:val="en-US" w:eastAsia="zh-CN"/>
        </w:rPr>
        <w:t xml:space="preserve">  </w:t>
      </w:r>
      <w:r>
        <w:rPr>
          <w:rFonts w:hint="eastAsia" w:ascii="黑体" w:hAnsi="黑体" w:eastAsia="黑体" w:cs="黑体"/>
          <w:sz w:val="32"/>
          <w:szCs w:val="24"/>
          <w:u w:val="single"/>
        </w:rPr>
        <w:t xml:space="preserve">GZ016              </w:t>
      </w:r>
    </w:p>
    <w:p>
      <w:pPr>
        <w:jc w:val="center"/>
        <w:rPr>
          <w:rFonts w:ascii="Times New Roman" w:hAnsi="Times New Roman" w:eastAsia="宋体" w:cs="Times New Roman"/>
          <w:sz w:val="30"/>
        </w:rPr>
      </w:pPr>
    </w:p>
    <w:p>
      <w:pPr>
        <w:jc w:val="center"/>
        <w:rPr>
          <w:rFonts w:ascii="Times New Roman" w:hAnsi="Times New Roman" w:eastAsia="宋体" w:cs="Times New Roman"/>
          <w:sz w:val="30"/>
        </w:rPr>
      </w:pPr>
    </w:p>
    <w:p>
      <w:pPr>
        <w:widowControl/>
        <w:jc w:val="left"/>
        <w:rPr>
          <w:rFonts w:ascii="黑体" w:hAnsi="Times New Roman" w:eastAsia="黑体" w:cs="Times New Roman"/>
          <w:sz w:val="24"/>
        </w:rPr>
      </w:pPr>
    </w:p>
    <w:p>
      <w:pPr>
        <w:rPr>
          <w:rFonts w:hint="eastAsia"/>
          <w:b/>
          <w:bCs/>
          <w:sz w:val="48"/>
          <w:szCs w:val="48"/>
        </w:rPr>
      </w:pPr>
      <w:r>
        <w:rPr>
          <w:rFonts w:hint="eastAsia"/>
          <w:b/>
          <w:bCs/>
          <w:sz w:val="48"/>
          <w:szCs w:val="48"/>
        </w:rPr>
        <w:br w:type="page"/>
      </w:r>
    </w:p>
    <w:p>
      <w:pPr>
        <w:spacing w:before="0" w:after="0" w:line="240" w:lineRule="auto"/>
        <w:jc w:val="center"/>
        <w:rPr>
          <w:rFonts w:hint="eastAsia" w:ascii="黑体" w:hAnsi="黑体" w:eastAsia="黑体" w:cs="黑体"/>
          <w:b/>
          <w:bCs/>
          <w:spacing w:val="1"/>
          <w:sz w:val="44"/>
          <w:szCs w:val="44"/>
          <w:highlight w:val="none"/>
          <w:lang w:val="en-US" w:eastAsia="zh-CN"/>
        </w:rPr>
      </w:pPr>
      <w:r>
        <w:rPr>
          <w:rFonts w:hint="eastAsia" w:ascii="黑体" w:hAnsi="黑体" w:eastAsia="黑体" w:cs="黑体"/>
          <w:b/>
          <w:bCs/>
          <w:spacing w:val="1"/>
          <w:sz w:val="44"/>
          <w:szCs w:val="44"/>
          <w:highlight w:val="none"/>
          <w:lang w:val="en-US" w:eastAsia="zh-CN"/>
        </w:rPr>
        <w:t xml:space="preserve">2023年全国职业院校技能大赛高职组 </w:t>
      </w:r>
    </w:p>
    <w:p>
      <w:pPr>
        <w:spacing w:before="0" w:after="0" w:line="240" w:lineRule="auto"/>
        <w:jc w:val="center"/>
        <w:rPr>
          <w:rFonts w:hint="eastAsia" w:ascii="黑体" w:hAnsi="黑体" w:eastAsia="黑体" w:cs="黑体"/>
          <w:b/>
          <w:bCs/>
          <w:spacing w:val="1"/>
          <w:sz w:val="44"/>
          <w:szCs w:val="44"/>
          <w:highlight w:val="none"/>
          <w:lang w:val="en-US" w:eastAsia="zh-CN"/>
        </w:rPr>
      </w:pPr>
      <w:r>
        <w:rPr>
          <w:rFonts w:hint="eastAsia" w:ascii="黑体" w:hAnsi="黑体" w:eastAsia="黑体" w:cs="黑体"/>
          <w:b/>
          <w:bCs/>
          <w:spacing w:val="1"/>
          <w:sz w:val="44"/>
          <w:szCs w:val="44"/>
          <w:highlight w:val="none"/>
          <w:lang w:val="en-US" w:eastAsia="zh-CN"/>
        </w:rPr>
        <w:t xml:space="preserve">“工业网络智能控制与维护”赛项（学生赛） </w:t>
      </w:r>
    </w:p>
    <w:p>
      <w:pPr>
        <w:spacing w:before="312" w:beforeLines="100" w:after="312" w:afterLines="100" w:line="360" w:lineRule="auto"/>
        <w:jc w:val="center"/>
        <w:rPr>
          <w:rFonts w:hint="default"/>
          <w:b/>
          <w:bCs/>
          <w:sz w:val="48"/>
          <w:szCs w:val="48"/>
          <w:lang w:val="en-US"/>
        </w:rPr>
      </w:pPr>
      <w:r>
        <w:rPr>
          <w:rFonts w:hint="eastAsia" w:ascii="黑体" w:hAnsi="黑体" w:eastAsia="黑体" w:cs="黑体"/>
          <w:b/>
          <w:bCs/>
          <w:spacing w:val="1"/>
          <w:sz w:val="44"/>
          <w:szCs w:val="44"/>
          <w:highlight w:val="none"/>
          <w:lang w:val="en-US" w:eastAsia="zh-CN"/>
        </w:rPr>
        <w:t>赛题九</w:t>
      </w:r>
    </w:p>
    <w:p>
      <w:pPr>
        <w:spacing w:line="360" w:lineRule="auto"/>
        <w:rPr>
          <w:b/>
          <w:bCs/>
          <w:sz w:val="32"/>
          <w:szCs w:val="32"/>
        </w:rPr>
      </w:pPr>
    </w:p>
    <w:p>
      <w:pPr>
        <w:spacing w:line="360" w:lineRule="auto"/>
        <w:rPr>
          <w:b/>
          <w:bCs/>
          <w:sz w:val="32"/>
          <w:szCs w:val="32"/>
        </w:rPr>
      </w:pPr>
      <w:r>
        <w:rPr>
          <w:b/>
          <w:bCs/>
          <w:sz w:val="32"/>
          <w:szCs w:val="32"/>
        </w:rPr>
        <w:t>选手须知：</w:t>
      </w:r>
    </w:p>
    <w:p>
      <w:pPr>
        <w:pStyle w:val="3"/>
        <w:ind w:left="0" w:leftChars="0" w:right="-57" w:rightChars="-27" w:firstLine="560" w:firstLineChars="200"/>
        <w:rPr>
          <w:sz w:val="28"/>
          <w:szCs w:val="24"/>
        </w:rPr>
      </w:pPr>
      <w:r>
        <w:rPr>
          <w:rFonts w:hint="eastAsia"/>
          <w:sz w:val="28"/>
          <w:szCs w:val="24"/>
        </w:rPr>
        <w:t>1</w:t>
      </w:r>
      <w:r>
        <w:rPr>
          <w:sz w:val="28"/>
          <w:szCs w:val="24"/>
        </w:rPr>
        <w:t>．任务书共</w:t>
      </w:r>
      <w:r>
        <w:rPr>
          <w:rFonts w:hint="eastAsia"/>
          <w:sz w:val="28"/>
          <w:szCs w:val="24"/>
        </w:rPr>
        <w:t xml:space="preserve"> </w:t>
      </w:r>
      <w:r>
        <w:rPr>
          <w:rFonts w:hint="eastAsia"/>
          <w:sz w:val="28"/>
          <w:szCs w:val="24"/>
          <w:u w:val="single"/>
        </w:rPr>
        <w:t xml:space="preserve"> </w:t>
      </w:r>
      <w:r>
        <w:rPr>
          <w:rFonts w:hint="eastAsia"/>
          <w:sz w:val="28"/>
          <w:szCs w:val="24"/>
          <w:u w:val="single"/>
          <w:lang w:val="en-US" w:eastAsia="zh-CN"/>
        </w:rPr>
        <w:t>9</w:t>
      </w:r>
      <w:r>
        <w:rPr>
          <w:rFonts w:hint="eastAsia"/>
          <w:sz w:val="28"/>
          <w:szCs w:val="24"/>
          <w:u w:val="single"/>
        </w:rPr>
        <w:t xml:space="preserve"> </w:t>
      </w:r>
      <w:r>
        <w:rPr>
          <w:sz w:val="28"/>
          <w:szCs w:val="24"/>
        </w:rPr>
        <w:t xml:space="preserve">页，如出现任务书缺页、字迹不清等问题，请及时向裁判示意，并进行任务书的更换。 </w:t>
      </w:r>
    </w:p>
    <w:p>
      <w:pPr>
        <w:pStyle w:val="3"/>
        <w:ind w:left="0" w:leftChars="0" w:right="-57" w:rightChars="-27" w:firstLine="560" w:firstLineChars="200"/>
        <w:rPr>
          <w:sz w:val="28"/>
          <w:szCs w:val="24"/>
        </w:rPr>
      </w:pPr>
      <w:r>
        <w:rPr>
          <w:sz w:val="28"/>
          <w:szCs w:val="24"/>
        </w:rPr>
        <w:t>2．参赛队应在</w:t>
      </w:r>
      <w:r>
        <w:rPr>
          <w:sz w:val="28"/>
          <w:szCs w:val="24"/>
          <w:u w:val="single"/>
        </w:rPr>
        <w:t xml:space="preserve"> </w:t>
      </w:r>
      <w:r>
        <w:rPr>
          <w:rFonts w:hint="eastAsia"/>
          <w:sz w:val="28"/>
          <w:szCs w:val="24"/>
          <w:u w:val="single"/>
        </w:rPr>
        <w:t>6</w:t>
      </w:r>
      <w:r>
        <w:rPr>
          <w:sz w:val="28"/>
          <w:szCs w:val="24"/>
          <w:u w:val="single"/>
        </w:rPr>
        <w:t xml:space="preserve"> </w:t>
      </w:r>
      <w:r>
        <w:rPr>
          <w:sz w:val="28"/>
          <w:szCs w:val="24"/>
        </w:rPr>
        <w:t xml:space="preserve">小时内完成任务书规定内容。 </w:t>
      </w:r>
    </w:p>
    <w:p>
      <w:pPr>
        <w:pStyle w:val="3"/>
        <w:ind w:left="0" w:leftChars="0" w:right="-57" w:rightChars="-27" w:firstLine="560" w:firstLineChars="200"/>
        <w:rPr>
          <w:sz w:val="28"/>
          <w:szCs w:val="24"/>
        </w:rPr>
      </w:pPr>
      <w:r>
        <w:rPr>
          <w:sz w:val="28"/>
          <w:szCs w:val="24"/>
        </w:rPr>
        <w:t xml:space="preserve">3．任务书中只得填写竞赛相关信息，不得出现学校、姓名等与身份有关的信息或与竞赛过程无关的内容，否则成绩无效。 </w:t>
      </w:r>
    </w:p>
    <w:p>
      <w:pPr>
        <w:pStyle w:val="3"/>
        <w:ind w:left="0" w:leftChars="0" w:right="-57" w:rightChars="-27" w:firstLine="560" w:firstLineChars="200"/>
        <w:rPr>
          <w:sz w:val="28"/>
          <w:szCs w:val="24"/>
        </w:rPr>
      </w:pPr>
      <w:r>
        <w:rPr>
          <w:sz w:val="28"/>
          <w:szCs w:val="24"/>
        </w:rPr>
        <w:t xml:space="preserve">4. </w:t>
      </w:r>
      <w:r>
        <w:rPr>
          <w:rFonts w:hint="eastAsia"/>
          <w:sz w:val="28"/>
          <w:szCs w:val="24"/>
        </w:rPr>
        <w:t>选手在竞赛过程中利用电脑创建的软件程序文件必须存储到“D:\技能竞赛”文件夹中，其中PLC文件的命名格式为“PLC+场次号+工位号”，触摸屏文件的命名格式为“HMI+场次号+工位号”</w:t>
      </w:r>
      <w:r>
        <w:rPr>
          <w:sz w:val="28"/>
          <w:szCs w:val="24"/>
        </w:rPr>
        <w:t>。</w:t>
      </w:r>
      <w:r>
        <w:rPr>
          <w:rFonts w:hint="eastAsia"/>
          <w:sz w:val="28"/>
          <w:szCs w:val="24"/>
        </w:rPr>
        <w:t>未按要求保存的文件不予以评分。计算机编辑文件请实时存盘，建议10-15分钟存盘一次，客观原因断电情况下，酌情补时不超过十五分钟。</w:t>
      </w:r>
    </w:p>
    <w:p>
      <w:pPr>
        <w:pStyle w:val="3"/>
        <w:ind w:left="0" w:leftChars="0" w:right="-57" w:rightChars="-27" w:firstLine="560" w:firstLineChars="200"/>
      </w:pPr>
      <w:r>
        <w:rPr>
          <w:sz w:val="28"/>
          <w:szCs w:val="24"/>
        </w:rPr>
        <w:t>5．由于参赛选手人为原因导致竞赛设备损坏，以致无法正常继续比赛，将取消参赛队竞赛资格。</w:t>
      </w:r>
    </w:p>
    <w:p/>
    <w:p/>
    <w:p/>
    <w:p/>
    <w:p/>
    <w:p>
      <w:pPr>
        <w:tabs>
          <w:tab w:val="left" w:pos="6141"/>
        </w:tabs>
        <w:ind w:firstLine="281" w:firstLineChars="100"/>
        <w:rPr>
          <w:rFonts w:ascii="仿宋" w:hAnsi="仿宋" w:eastAsia="仿宋"/>
          <w:b/>
          <w:sz w:val="28"/>
          <w:szCs w:val="28"/>
        </w:rPr>
      </w:pPr>
      <w:r>
        <w:rPr>
          <w:rFonts w:ascii="仿宋" w:hAnsi="仿宋" w:eastAsia="仿宋"/>
          <w:b/>
          <w:sz w:val="28"/>
          <w:szCs w:val="28"/>
        </w:rPr>
        <w:t>竞赛</w:t>
      </w:r>
      <w:r>
        <w:rPr>
          <w:rFonts w:ascii="仿宋" w:hAnsi="仿宋" w:eastAsia="仿宋"/>
          <w:b/>
          <w:spacing w:val="6"/>
          <w:sz w:val="28"/>
          <w:szCs w:val="28"/>
        </w:rPr>
        <w:t>场</w:t>
      </w:r>
      <w:r>
        <w:rPr>
          <w:rFonts w:ascii="仿宋" w:hAnsi="仿宋" w:eastAsia="仿宋"/>
          <w:b/>
          <w:sz w:val="28"/>
          <w:szCs w:val="28"/>
        </w:rPr>
        <w:t>次</w:t>
      </w:r>
      <w:r>
        <w:rPr>
          <w:rFonts w:ascii="仿宋" w:hAnsi="仿宋" w:eastAsia="仿宋"/>
          <w:b/>
          <w:spacing w:val="6"/>
          <w:sz w:val="28"/>
          <w:szCs w:val="28"/>
        </w:rPr>
        <w:t>：</w:t>
      </w:r>
      <w:r>
        <w:rPr>
          <w:rFonts w:ascii="仿宋" w:hAnsi="仿宋" w:eastAsia="仿宋"/>
          <w:b/>
          <w:sz w:val="28"/>
          <w:szCs w:val="28"/>
        </w:rPr>
        <w:t>第</w:t>
      </w:r>
      <w:r>
        <w:rPr>
          <w:rFonts w:ascii="仿宋" w:hAnsi="仿宋" w:eastAsia="仿宋"/>
          <w:b/>
          <w:sz w:val="28"/>
          <w:szCs w:val="28"/>
          <w:u w:val="single"/>
        </w:rPr>
        <w:t xml:space="preserve">  </w:t>
      </w:r>
      <w:r>
        <w:rPr>
          <w:rFonts w:hint="eastAsia" w:ascii="仿宋" w:hAnsi="仿宋" w:eastAsia="仿宋"/>
          <w:b/>
          <w:sz w:val="28"/>
          <w:szCs w:val="28"/>
          <w:u w:val="single"/>
        </w:rPr>
        <w:t xml:space="preserve">  </w:t>
      </w:r>
      <w:r>
        <w:rPr>
          <w:rFonts w:ascii="仿宋" w:hAnsi="仿宋" w:eastAsia="仿宋"/>
          <w:b/>
          <w:sz w:val="28"/>
          <w:szCs w:val="28"/>
          <w:u w:val="single"/>
        </w:rPr>
        <w:t xml:space="preserve"> </w:t>
      </w:r>
      <w:r>
        <w:rPr>
          <w:rFonts w:ascii="仿宋" w:hAnsi="仿宋" w:eastAsia="仿宋"/>
          <w:b/>
          <w:sz w:val="28"/>
          <w:szCs w:val="28"/>
        </w:rPr>
        <w:t>场</w:t>
      </w:r>
      <w:r>
        <w:rPr>
          <w:rFonts w:hint="eastAsia" w:ascii="仿宋" w:hAnsi="仿宋" w:eastAsia="仿宋"/>
          <w:b/>
          <w:sz w:val="28"/>
          <w:szCs w:val="28"/>
        </w:rPr>
        <w:t xml:space="preserve">                  </w:t>
      </w:r>
      <w:r>
        <w:rPr>
          <w:rFonts w:ascii="仿宋" w:hAnsi="仿宋" w:eastAsia="仿宋"/>
          <w:b/>
          <w:sz w:val="28"/>
          <w:szCs w:val="28"/>
        </w:rPr>
        <w:t>赛</w:t>
      </w:r>
      <w:r>
        <w:rPr>
          <w:rFonts w:ascii="仿宋" w:hAnsi="仿宋" w:eastAsia="仿宋"/>
          <w:b/>
          <w:spacing w:val="6"/>
          <w:sz w:val="28"/>
          <w:szCs w:val="28"/>
        </w:rPr>
        <w:t>位</w:t>
      </w:r>
      <w:r>
        <w:rPr>
          <w:rFonts w:ascii="仿宋" w:hAnsi="仿宋" w:eastAsia="仿宋"/>
          <w:b/>
          <w:sz w:val="28"/>
          <w:szCs w:val="28"/>
        </w:rPr>
        <w:t>号：</w:t>
      </w:r>
      <w:r>
        <w:rPr>
          <w:rFonts w:ascii="仿宋" w:hAnsi="仿宋" w:eastAsia="仿宋"/>
          <w:b/>
          <w:spacing w:val="8"/>
          <w:sz w:val="28"/>
          <w:szCs w:val="28"/>
        </w:rPr>
        <w:t>第</w:t>
      </w:r>
      <w:r>
        <w:rPr>
          <w:rFonts w:ascii="仿宋" w:hAnsi="仿宋" w:eastAsia="仿宋"/>
          <w:b/>
          <w:spacing w:val="9"/>
          <w:sz w:val="28"/>
          <w:szCs w:val="28"/>
          <w:u w:val="single"/>
        </w:rPr>
        <w:t xml:space="preserve"> </w:t>
      </w:r>
      <w:r>
        <w:rPr>
          <w:rFonts w:hint="eastAsia" w:ascii="仿宋" w:hAnsi="仿宋" w:eastAsia="仿宋"/>
          <w:b/>
          <w:spacing w:val="9"/>
          <w:sz w:val="28"/>
          <w:szCs w:val="28"/>
          <w:u w:val="single"/>
        </w:rPr>
        <w:t xml:space="preserve">   </w:t>
      </w:r>
      <w:r>
        <w:rPr>
          <w:rFonts w:ascii="仿宋" w:hAnsi="仿宋" w:eastAsia="仿宋"/>
          <w:b/>
          <w:sz w:val="28"/>
          <w:szCs w:val="28"/>
        </w:rPr>
        <w:t>号</w:t>
      </w:r>
    </w:p>
    <w:p>
      <w:pPr>
        <w:spacing w:before="156" w:beforeLines="50" w:after="156" w:afterLines="50" w:line="360" w:lineRule="auto"/>
        <w:jc w:val="center"/>
        <w:rPr>
          <w:b/>
          <w:bCs/>
          <w:sz w:val="36"/>
          <w:szCs w:val="36"/>
        </w:rPr>
      </w:pPr>
    </w:p>
    <w:p>
      <w:pPr>
        <w:spacing w:before="156" w:beforeLines="50" w:after="156" w:afterLines="50" w:line="360" w:lineRule="auto"/>
        <w:jc w:val="center"/>
        <w:rPr>
          <w:b/>
          <w:bCs/>
          <w:sz w:val="36"/>
          <w:szCs w:val="36"/>
        </w:rPr>
      </w:pPr>
      <w:r>
        <w:rPr>
          <w:rFonts w:hint="eastAsia"/>
          <w:b/>
          <w:bCs/>
          <w:sz w:val="36"/>
          <w:szCs w:val="36"/>
        </w:rPr>
        <w:t>基于工业网络控制的发动机部件装配生产线</w:t>
      </w:r>
    </w:p>
    <w:p>
      <w:pPr>
        <w:spacing w:before="468" w:beforeLines="150"/>
        <w:rPr>
          <w:rFonts w:ascii="宋体" w:hAnsi="宋体" w:cstheme="minorBidi"/>
          <w:b/>
          <w:bCs/>
          <w:sz w:val="30"/>
          <w:szCs w:val="30"/>
        </w:rPr>
      </w:pPr>
      <w:r>
        <w:rPr>
          <w:rFonts w:hint="eastAsia" w:ascii="宋体" w:hAnsi="宋体" w:cstheme="minorBidi"/>
          <w:b/>
          <w:bCs/>
          <w:sz w:val="30"/>
          <w:szCs w:val="30"/>
        </w:rPr>
        <w:t>一、平台概述</w:t>
      </w:r>
    </w:p>
    <w:p>
      <w:pPr>
        <w:spacing w:line="360" w:lineRule="auto"/>
        <w:ind w:firstLine="480" w:firstLineChars="200"/>
        <w:rPr>
          <w:sz w:val="24"/>
        </w:rPr>
      </w:pPr>
      <w:r>
        <w:rPr>
          <w:rFonts w:hint="eastAsia"/>
          <w:sz w:val="24"/>
        </w:rPr>
        <w:t>本比赛项目需通过物理平台达成考察目标，平台为一条新能源汽车发动机部件装配生产线。整个生产线系统由五部分构成：工业网络单元、控制单元、检测单元、执行单元和信息管理单元，每个单元均配有通信接口，通过组网能够实现整个生产线系统的互联互通。</w:t>
      </w:r>
    </w:p>
    <w:p>
      <w:pPr>
        <w:spacing w:line="360" w:lineRule="auto"/>
        <w:ind w:firstLine="480" w:firstLineChars="200"/>
        <w:rPr>
          <w:sz w:val="24"/>
        </w:rPr>
      </w:pPr>
      <w:r>
        <w:rPr>
          <w:rFonts w:hint="eastAsia"/>
          <w:sz w:val="24"/>
        </w:rPr>
        <w:t>工业网络单元利用以太网通信接口实现整个生产线系统的网络通信，能够实现与其他单元的数据、指令的网络通信与传输。控制单元包括PLC、变频器、伺服控制器、中间继电器等电气部件。用于接收来自检测单元的传感数据，发送控制指令，实现执行单元的动作执行，以及和信息管理单元实现数据可视化等信息化管理功能。</w:t>
      </w:r>
    </w:p>
    <w:p>
      <w:pPr>
        <w:spacing w:line="360" w:lineRule="auto"/>
        <w:ind w:firstLine="480" w:firstLineChars="200"/>
        <w:rPr>
          <w:sz w:val="24"/>
        </w:rPr>
      </w:pPr>
      <w:r>
        <w:rPr>
          <w:rFonts w:hint="eastAsia"/>
          <w:sz w:val="24"/>
        </w:rPr>
        <w:t>检测单元主要包括视觉检测、材质检测、条码/二维码检测、称重检测、速度检测、R</w:t>
      </w:r>
      <w:r>
        <w:rPr>
          <w:sz w:val="24"/>
        </w:rPr>
        <w:t>FID</w:t>
      </w:r>
      <w:r>
        <w:rPr>
          <w:rFonts w:hint="eastAsia"/>
          <w:sz w:val="24"/>
        </w:rPr>
        <w:t>读写等产品检测装置，以及对整个生产线系统的设备状态、环境参数实时监测的各类传感装置，包括温度、湿度、电能、电量、噪声等环境监测。</w:t>
      </w:r>
    </w:p>
    <w:p>
      <w:pPr>
        <w:spacing w:line="360" w:lineRule="auto"/>
        <w:ind w:firstLine="480" w:firstLineChars="200"/>
        <w:rPr>
          <w:sz w:val="24"/>
        </w:rPr>
      </w:pPr>
      <w:r>
        <w:rPr>
          <w:rFonts w:hint="eastAsia"/>
          <w:sz w:val="24"/>
        </w:rPr>
        <w:t>执行单元包括机械手、变频电机、步进电动转盘、伺服导轨、气动元件等执行部件，能够实现整个生产线系统的物料出入库、物料中转、物料搬运、装配等生产执行环节。</w:t>
      </w:r>
    </w:p>
    <w:p>
      <w:pPr>
        <w:spacing w:line="360" w:lineRule="auto"/>
        <w:ind w:firstLine="480" w:firstLineChars="200"/>
        <w:rPr>
          <w:sz w:val="24"/>
        </w:rPr>
      </w:pPr>
      <w:r>
        <w:rPr>
          <w:rFonts w:hint="eastAsia"/>
          <w:sz w:val="24"/>
        </w:rPr>
        <w:t>信息管理单元配置了触摸屏、显示屏等人机交互部件，基于工业网络仿真软件和生产管理M</w:t>
      </w:r>
      <w:r>
        <w:rPr>
          <w:sz w:val="24"/>
        </w:rPr>
        <w:t>ES</w:t>
      </w:r>
      <w:r>
        <w:rPr>
          <w:rFonts w:hint="eastAsia"/>
          <w:sz w:val="24"/>
        </w:rPr>
        <w:t>系统软件，能够实现工业网络及生产线系统的设计、分析、仿真及整个生产线系统生产状态、生产数据、工序工艺的数字化、信息化管理等功能。</w:t>
      </w:r>
    </w:p>
    <w:p>
      <w:pPr>
        <w:spacing w:before="468" w:beforeLines="150"/>
        <w:rPr>
          <w:rFonts w:ascii="宋体" w:hAnsi="宋体" w:cstheme="minorBidi"/>
          <w:b/>
          <w:bCs/>
          <w:sz w:val="30"/>
          <w:szCs w:val="30"/>
        </w:rPr>
      </w:pPr>
      <w:r>
        <w:rPr>
          <w:rFonts w:hint="eastAsia" w:ascii="宋体" w:hAnsi="宋体" w:cstheme="minorBidi"/>
          <w:b/>
          <w:bCs/>
          <w:sz w:val="30"/>
          <w:szCs w:val="30"/>
        </w:rPr>
        <w:t>二、任务要求</w:t>
      </w:r>
    </w:p>
    <w:p>
      <w:pPr>
        <w:spacing w:line="360" w:lineRule="auto"/>
        <w:ind w:firstLine="480"/>
        <w:rPr>
          <w:rFonts w:ascii="宋体" w:hAnsi="宋体" w:cs="宋体"/>
          <w:sz w:val="24"/>
        </w:rPr>
      </w:pPr>
      <w:r>
        <w:rPr>
          <w:rFonts w:hint="eastAsia"/>
          <w:sz w:val="24"/>
        </w:rPr>
        <w:t>总体任务是设计并利用现场设备，组网完成对新能源汽车发动机部件装配生产线的智能控制</w:t>
      </w:r>
      <w:r>
        <w:rPr>
          <w:rFonts w:ascii="宋体" w:hAnsi="宋体" w:cs="宋体"/>
          <w:sz w:val="24"/>
        </w:rPr>
        <w:t>。分项任务如下：</w:t>
      </w:r>
    </w:p>
    <w:p>
      <w:pPr>
        <w:spacing w:line="360" w:lineRule="auto"/>
        <w:ind w:firstLine="480" w:firstLineChars="200"/>
        <w:rPr>
          <w:sz w:val="24"/>
        </w:rPr>
      </w:pPr>
      <w:r>
        <w:rPr>
          <w:rFonts w:hint="eastAsia"/>
          <w:sz w:val="24"/>
        </w:rPr>
        <w:t>1、采用工业网络控制架构设计软件实现对工业网络的设计规划；</w:t>
      </w:r>
    </w:p>
    <w:p>
      <w:pPr>
        <w:spacing w:line="360" w:lineRule="auto"/>
        <w:ind w:firstLine="480" w:firstLineChars="200"/>
        <w:rPr>
          <w:sz w:val="24"/>
        </w:rPr>
      </w:pPr>
      <w:r>
        <w:rPr>
          <w:rFonts w:hint="eastAsia"/>
          <w:sz w:val="24"/>
        </w:rPr>
        <w:t>2、采用工业网络各类通信接口、通信协议实现生产线系统的组网、联网；</w:t>
      </w:r>
    </w:p>
    <w:p>
      <w:pPr>
        <w:spacing w:line="360" w:lineRule="auto"/>
        <w:ind w:firstLine="480" w:firstLineChars="200"/>
        <w:rPr>
          <w:sz w:val="24"/>
        </w:rPr>
      </w:pPr>
      <w:r>
        <w:rPr>
          <w:rFonts w:hint="eastAsia"/>
          <w:sz w:val="24"/>
        </w:rPr>
        <w:t>3、采用工业网络控制仿真软件实现对生产线系统的调试仿真设计；</w:t>
      </w:r>
    </w:p>
    <w:p>
      <w:pPr>
        <w:spacing w:line="360" w:lineRule="auto"/>
        <w:ind w:firstLine="480" w:firstLineChars="200"/>
        <w:rPr>
          <w:sz w:val="24"/>
        </w:rPr>
      </w:pPr>
      <w:r>
        <w:rPr>
          <w:rFonts w:hint="eastAsia"/>
          <w:sz w:val="24"/>
        </w:rPr>
        <w:t>4、采用现场给定的传感器、可编程控制器、执行器，通过操作、编程、调试等手段实现对生产线系统各功能单元、部件装置的全流程自动化控制，实现对新能源汽车发动机部件装配生产线的模拟；</w:t>
      </w:r>
    </w:p>
    <w:p>
      <w:pPr>
        <w:spacing w:line="360" w:lineRule="auto"/>
        <w:ind w:firstLine="480" w:firstLineChars="200"/>
        <w:rPr>
          <w:b w:val="0"/>
          <w:bCs w:val="0"/>
          <w:color w:val="auto"/>
          <w:sz w:val="24"/>
        </w:rPr>
      </w:pPr>
      <w:r>
        <w:rPr>
          <w:rFonts w:hint="eastAsia"/>
          <w:b w:val="0"/>
          <w:bCs w:val="0"/>
          <w:color w:val="auto"/>
          <w:sz w:val="24"/>
        </w:rPr>
        <w:t>5、采用生产管理M</w:t>
      </w:r>
      <w:r>
        <w:rPr>
          <w:b w:val="0"/>
          <w:bCs w:val="0"/>
          <w:color w:val="auto"/>
          <w:sz w:val="24"/>
        </w:rPr>
        <w:t>ES</w:t>
      </w:r>
      <w:r>
        <w:rPr>
          <w:rFonts w:hint="eastAsia"/>
          <w:b w:val="0"/>
          <w:bCs w:val="0"/>
          <w:color w:val="auto"/>
          <w:sz w:val="24"/>
        </w:rPr>
        <w:t>系统软件实现对整个生产线系统各类生产信息、物料状态、环境数据的实时监测及信息化管理。</w:t>
      </w:r>
    </w:p>
    <w:p>
      <w:pPr>
        <w:spacing w:line="360" w:lineRule="auto"/>
        <w:ind w:firstLine="480" w:firstLineChars="200"/>
        <w:rPr>
          <w:sz w:val="24"/>
        </w:rPr>
      </w:pPr>
      <w:r>
        <w:rPr>
          <w:rFonts w:hint="eastAsia"/>
          <w:sz w:val="24"/>
        </w:rPr>
        <w:t>具体要求如下：</w:t>
      </w:r>
    </w:p>
    <w:p>
      <w:pPr>
        <w:spacing w:line="360" w:lineRule="auto"/>
        <w:ind w:firstLine="480" w:firstLineChars="200"/>
        <w:rPr>
          <w:sz w:val="24"/>
        </w:rPr>
      </w:pPr>
      <w:r>
        <w:rPr>
          <w:rFonts w:hint="eastAsia"/>
          <w:sz w:val="24"/>
        </w:rPr>
        <w:t>（1）操作人员（现场员工）启动现场触摸屏，通过扫码枪或R</w:t>
      </w:r>
      <w:r>
        <w:rPr>
          <w:sz w:val="24"/>
        </w:rPr>
        <w:t>FID</w:t>
      </w:r>
      <w:r>
        <w:rPr>
          <w:rFonts w:hint="eastAsia"/>
          <w:sz w:val="24"/>
        </w:rPr>
        <w:t>电子芯片装置能够实现操作人员身份信息、工序工艺信息、物料状态信息的自动录入，启动整个系统，系统自检以后，进入待命状态；</w:t>
      </w:r>
    </w:p>
    <w:p>
      <w:pPr>
        <w:spacing w:line="360" w:lineRule="auto"/>
        <w:ind w:firstLine="480" w:firstLineChars="200"/>
        <w:rPr>
          <w:sz w:val="24"/>
        </w:rPr>
      </w:pPr>
      <w:r>
        <w:rPr>
          <w:rFonts w:hint="eastAsia"/>
          <w:sz w:val="24"/>
        </w:rPr>
        <w:t>（2）操作人员现场操作工业网络设计规划软件，实现工业互联网络的规划与设计；</w:t>
      </w:r>
    </w:p>
    <w:p>
      <w:pPr>
        <w:spacing w:line="360" w:lineRule="auto"/>
        <w:ind w:firstLine="480" w:firstLineChars="200"/>
        <w:rPr>
          <w:b w:val="0"/>
          <w:bCs w:val="0"/>
          <w:color w:val="auto"/>
          <w:sz w:val="24"/>
        </w:rPr>
      </w:pPr>
      <w:r>
        <w:rPr>
          <w:rFonts w:hint="eastAsia"/>
          <w:b w:val="0"/>
          <w:bCs w:val="0"/>
          <w:color w:val="auto"/>
          <w:sz w:val="24"/>
        </w:rPr>
        <w:t>（3）操作人员根据生产任务，可以借助生产管理M</w:t>
      </w:r>
      <w:r>
        <w:rPr>
          <w:b w:val="0"/>
          <w:bCs w:val="0"/>
          <w:color w:val="auto"/>
          <w:sz w:val="24"/>
        </w:rPr>
        <w:t>ES</w:t>
      </w:r>
      <w:r>
        <w:rPr>
          <w:rFonts w:hint="eastAsia"/>
          <w:b w:val="0"/>
          <w:bCs w:val="0"/>
          <w:color w:val="auto"/>
          <w:sz w:val="24"/>
        </w:rPr>
        <w:t>系统软件实现在线生成订单、在线派发订单、订单跟踪管理等功能；</w:t>
      </w:r>
    </w:p>
    <w:p>
      <w:pPr>
        <w:spacing w:line="360" w:lineRule="auto"/>
        <w:ind w:firstLine="480" w:firstLineChars="200"/>
        <w:rPr>
          <w:sz w:val="24"/>
        </w:rPr>
      </w:pPr>
      <w:r>
        <w:rPr>
          <w:rFonts w:hint="eastAsia"/>
          <w:sz w:val="24"/>
        </w:rPr>
        <w:t>（4）操作人员可以现场对控制单元进行操作、编程与调试，完成整个装配生产线系统的自动运行、自动监测和自动管理，并经过工业网络单元与生产管理M</w:t>
      </w:r>
      <w:r>
        <w:rPr>
          <w:sz w:val="24"/>
        </w:rPr>
        <w:t>ES</w:t>
      </w:r>
      <w:r>
        <w:rPr>
          <w:rFonts w:hint="eastAsia"/>
          <w:sz w:val="24"/>
        </w:rPr>
        <w:t>系统软件实现数据互联互通及对生产过程的数字化和信息化管理功能；</w:t>
      </w:r>
    </w:p>
    <w:p>
      <w:pPr>
        <w:spacing w:line="360" w:lineRule="auto"/>
        <w:ind w:firstLine="480" w:firstLineChars="200"/>
        <w:rPr>
          <w:sz w:val="24"/>
        </w:rPr>
      </w:pPr>
      <w:r>
        <w:rPr>
          <w:rFonts w:hint="eastAsia"/>
          <w:sz w:val="24"/>
        </w:rPr>
        <w:t>（5）物料通过上下料装置实现自动上下料，经过步进电动转盘实现物料检测筛选，配合移载伺服机械手实现装配、检测、分拣、仓储、R</w:t>
      </w:r>
      <w:r>
        <w:rPr>
          <w:sz w:val="24"/>
        </w:rPr>
        <w:t>FID</w:t>
      </w:r>
      <w:r>
        <w:rPr>
          <w:rFonts w:hint="eastAsia"/>
          <w:sz w:val="24"/>
        </w:rPr>
        <w:t>溯源等功能；</w:t>
      </w:r>
    </w:p>
    <w:p>
      <w:pPr>
        <w:spacing w:line="360" w:lineRule="auto"/>
        <w:ind w:firstLine="480" w:firstLineChars="200"/>
        <w:rPr>
          <w:sz w:val="24"/>
        </w:rPr>
      </w:pPr>
      <w:r>
        <w:rPr>
          <w:rFonts w:hint="eastAsia"/>
          <w:sz w:val="24"/>
        </w:rPr>
        <w:t>（6）物料在加工全流程过程中，检测单元的各类传感器装置、检测装置能够实现对物料加工全流程的数据采集与感知；</w:t>
      </w:r>
    </w:p>
    <w:p>
      <w:pPr>
        <w:spacing w:line="360" w:lineRule="auto"/>
        <w:ind w:firstLine="480" w:firstLineChars="200"/>
        <w:rPr>
          <w:sz w:val="24"/>
        </w:rPr>
      </w:pPr>
      <w:r>
        <w:rPr>
          <w:rFonts w:hint="eastAsia"/>
          <w:sz w:val="24"/>
        </w:rPr>
        <w:t>（7）物料在加工全流程过程中所采集的传感数据、控制指令，能够经工业网络单元传输至执行单元、信息管理单元等终端，实现生产加工过程的网络化传输和信息化管理；</w:t>
      </w:r>
    </w:p>
    <w:p>
      <w:pPr>
        <w:spacing w:line="360" w:lineRule="auto"/>
        <w:ind w:firstLine="480" w:firstLineChars="200"/>
        <w:rPr>
          <w:sz w:val="24"/>
        </w:rPr>
      </w:pPr>
      <w:r>
        <w:rPr>
          <w:rFonts w:hint="eastAsia"/>
          <w:sz w:val="24"/>
        </w:rPr>
        <w:t>（8</w:t>
      </w:r>
      <w:r>
        <w:rPr>
          <w:rFonts w:hint="eastAsia"/>
          <w:b w:val="0"/>
          <w:bCs w:val="0"/>
          <w:color w:val="auto"/>
          <w:sz w:val="24"/>
        </w:rPr>
        <w:t>）整个装配生产线系统的生产数据、状态数据、环境数据，均可以通过工业网络单元实现与信息管理单元的生产管理M</w:t>
      </w:r>
      <w:r>
        <w:rPr>
          <w:b w:val="0"/>
          <w:bCs w:val="0"/>
          <w:color w:val="auto"/>
          <w:sz w:val="24"/>
        </w:rPr>
        <w:t>ES</w:t>
      </w:r>
      <w:r>
        <w:rPr>
          <w:rFonts w:hint="eastAsia"/>
          <w:b w:val="0"/>
          <w:bCs w:val="0"/>
          <w:color w:val="auto"/>
          <w:sz w:val="24"/>
        </w:rPr>
        <w:t>系统软件的信息交互，所有数据信息能够显示于大屏之上；</w:t>
      </w:r>
    </w:p>
    <w:p>
      <w:pPr>
        <w:spacing w:line="360" w:lineRule="auto"/>
        <w:ind w:firstLine="480" w:firstLineChars="200"/>
        <w:rPr>
          <w:sz w:val="24"/>
        </w:rPr>
      </w:pPr>
      <w:r>
        <w:rPr>
          <w:rFonts w:hint="eastAsia"/>
          <w:sz w:val="24"/>
        </w:rPr>
        <w:t>（9）编写《竞赛总结》，保存到“D:\第二赛程\赛位号”等等。</w:t>
      </w:r>
    </w:p>
    <w:p>
      <w:pPr>
        <w:spacing w:before="468" w:beforeLines="150"/>
        <w:rPr>
          <w:rFonts w:ascii="宋体" w:hAnsi="宋体" w:cstheme="minorBidi"/>
          <w:b/>
          <w:bCs/>
          <w:sz w:val="30"/>
          <w:szCs w:val="30"/>
        </w:rPr>
      </w:pPr>
      <w:r>
        <w:rPr>
          <w:rFonts w:hint="eastAsia" w:ascii="宋体" w:hAnsi="宋体" w:cstheme="minorBidi"/>
          <w:b/>
          <w:bCs/>
          <w:sz w:val="30"/>
          <w:szCs w:val="30"/>
        </w:rPr>
        <w:t>三、比赛内容</w:t>
      </w:r>
    </w:p>
    <w:p>
      <w:pPr>
        <w:spacing w:line="360" w:lineRule="auto"/>
        <w:outlineLvl w:val="1"/>
        <w:rPr>
          <w:b/>
          <w:bCs/>
          <w:sz w:val="28"/>
          <w:szCs w:val="28"/>
        </w:rPr>
      </w:pPr>
      <w:r>
        <w:rPr>
          <w:rFonts w:hint="eastAsia"/>
          <w:b/>
          <w:bCs/>
          <w:sz w:val="28"/>
          <w:szCs w:val="28"/>
        </w:rPr>
        <w:t>模块一：工业网络智能控制与维护系统设计</w:t>
      </w:r>
    </w:p>
    <w:p>
      <w:pPr>
        <w:pStyle w:val="24"/>
        <w:spacing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任务1：</w:t>
      </w:r>
      <w:r>
        <w:rPr>
          <w:rFonts w:hint="eastAsia" w:ascii="Times New Roman" w:hAnsi="Times New Roman" w:cs="Times New Roman"/>
          <w:b/>
          <w:bCs/>
          <w:sz w:val="24"/>
          <w:szCs w:val="24"/>
        </w:rPr>
        <w:t>系统</w:t>
      </w:r>
      <w:r>
        <w:rPr>
          <w:rFonts w:ascii="Times New Roman" w:hAnsi="Times New Roman" w:cs="Times New Roman"/>
          <w:b/>
          <w:bCs/>
          <w:sz w:val="24"/>
          <w:szCs w:val="24"/>
        </w:rPr>
        <w:t>方案设计</w:t>
      </w:r>
    </w:p>
    <w:p>
      <w:pPr>
        <w:spacing w:line="360" w:lineRule="auto"/>
        <w:ind w:firstLine="480" w:firstLineChars="200"/>
        <w:rPr>
          <w:sz w:val="24"/>
        </w:rPr>
      </w:pPr>
      <w:r>
        <w:rPr>
          <w:rFonts w:hint="eastAsia"/>
          <w:sz w:val="24"/>
        </w:rPr>
        <w:t>根据任务需求设计系统方案，填写设计方案要素表，包括主要元件的选型、功能描述和位置布局，完成后填写设备选型设计表。</w:t>
      </w:r>
    </w:p>
    <w:p>
      <w:pPr>
        <w:pStyle w:val="13"/>
        <w:spacing w:before="156" w:beforeLines="50" w:after="0"/>
        <w:jc w:val="center"/>
        <w:rPr>
          <w:rFonts w:ascii="宋体" w:hAnsi="宋体" w:cs="宋体"/>
          <w:szCs w:val="21"/>
        </w:rPr>
      </w:pPr>
      <w:r>
        <w:rPr>
          <w:rFonts w:hint="eastAsia" w:ascii="宋体" w:hAnsi="宋体" w:cs="宋体"/>
          <w:szCs w:val="21"/>
        </w:rPr>
        <w:t>表1 系统元器件选型设计表</w:t>
      </w:r>
    </w:p>
    <w:tbl>
      <w:tblPr>
        <w:tblStyle w:val="15"/>
        <w:tblW w:w="0" w:type="auto"/>
        <w:tblInd w:w="5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0"/>
        <w:gridCol w:w="1790"/>
        <w:gridCol w:w="1510"/>
        <w:gridCol w:w="1840"/>
        <w:gridCol w:w="1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vAlign w:val="center"/>
          </w:tcPr>
          <w:p>
            <w:pPr>
              <w:pStyle w:val="13"/>
              <w:spacing w:after="0"/>
              <w:ind w:left="0" w:leftChars="0" w:firstLine="0" w:firstLineChars="0"/>
              <w:jc w:val="center"/>
            </w:pPr>
            <w:r>
              <w:rPr>
                <w:rFonts w:hint="eastAsia"/>
              </w:rPr>
              <w:t>序号</w:t>
            </w:r>
          </w:p>
        </w:tc>
        <w:tc>
          <w:tcPr>
            <w:tcW w:w="1790" w:type="dxa"/>
            <w:vAlign w:val="center"/>
          </w:tcPr>
          <w:p>
            <w:pPr>
              <w:pStyle w:val="13"/>
              <w:spacing w:after="0"/>
              <w:ind w:left="0" w:leftChars="0" w:firstLine="0" w:firstLineChars="0"/>
              <w:jc w:val="center"/>
            </w:pPr>
            <w:r>
              <w:rPr>
                <w:rFonts w:hint="eastAsia"/>
              </w:rPr>
              <w:t>设备名称</w:t>
            </w:r>
          </w:p>
        </w:tc>
        <w:tc>
          <w:tcPr>
            <w:tcW w:w="1510" w:type="dxa"/>
            <w:vAlign w:val="center"/>
          </w:tcPr>
          <w:p>
            <w:pPr>
              <w:pStyle w:val="13"/>
              <w:spacing w:after="0"/>
              <w:ind w:left="0" w:leftChars="0" w:firstLine="0" w:firstLineChars="0"/>
              <w:jc w:val="center"/>
            </w:pPr>
            <w:r>
              <w:rPr>
                <w:rFonts w:hint="eastAsia"/>
              </w:rPr>
              <w:t>选用型号</w:t>
            </w:r>
          </w:p>
        </w:tc>
        <w:tc>
          <w:tcPr>
            <w:tcW w:w="1840" w:type="dxa"/>
            <w:vAlign w:val="center"/>
          </w:tcPr>
          <w:p>
            <w:pPr>
              <w:pStyle w:val="13"/>
              <w:spacing w:after="0"/>
              <w:ind w:left="0" w:leftChars="0" w:firstLine="0" w:firstLineChars="0"/>
              <w:jc w:val="center"/>
            </w:pPr>
            <w:r>
              <w:rPr>
                <w:rFonts w:hint="eastAsia"/>
              </w:rPr>
              <w:t>功能描述</w:t>
            </w:r>
          </w:p>
        </w:tc>
        <w:tc>
          <w:tcPr>
            <w:tcW w:w="1949" w:type="dxa"/>
            <w:vAlign w:val="center"/>
          </w:tcPr>
          <w:p>
            <w:pPr>
              <w:pStyle w:val="13"/>
              <w:spacing w:after="0"/>
              <w:ind w:left="0" w:leftChars="0" w:firstLine="0" w:firstLineChars="0"/>
              <w:jc w:val="center"/>
            </w:pPr>
            <w:r>
              <w:rPr>
                <w:rFonts w:hint="eastAsia"/>
              </w:rPr>
              <w:t>位置布局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vAlign w:val="center"/>
          </w:tcPr>
          <w:p>
            <w:pPr>
              <w:pStyle w:val="13"/>
              <w:spacing w:after="0"/>
              <w:ind w:left="0" w:leftChars="0" w:firstLine="0" w:firstLineChars="0"/>
              <w:jc w:val="center"/>
            </w:pPr>
          </w:p>
        </w:tc>
        <w:tc>
          <w:tcPr>
            <w:tcW w:w="1790" w:type="dxa"/>
            <w:vAlign w:val="center"/>
          </w:tcPr>
          <w:p>
            <w:pPr>
              <w:pStyle w:val="13"/>
              <w:spacing w:after="0"/>
              <w:ind w:left="0" w:leftChars="0" w:firstLine="0" w:firstLineChars="0"/>
              <w:jc w:val="center"/>
            </w:pPr>
          </w:p>
        </w:tc>
        <w:tc>
          <w:tcPr>
            <w:tcW w:w="1510" w:type="dxa"/>
            <w:vAlign w:val="center"/>
          </w:tcPr>
          <w:p>
            <w:pPr>
              <w:pStyle w:val="13"/>
              <w:spacing w:after="0"/>
              <w:ind w:left="0" w:leftChars="0" w:firstLine="0" w:firstLineChars="0"/>
              <w:jc w:val="center"/>
            </w:pPr>
          </w:p>
        </w:tc>
        <w:tc>
          <w:tcPr>
            <w:tcW w:w="1840" w:type="dxa"/>
            <w:vAlign w:val="center"/>
          </w:tcPr>
          <w:p>
            <w:pPr>
              <w:pStyle w:val="13"/>
              <w:spacing w:after="0"/>
              <w:ind w:left="0" w:leftChars="0" w:firstLine="0" w:firstLineChars="0"/>
              <w:jc w:val="center"/>
            </w:pPr>
          </w:p>
        </w:tc>
        <w:tc>
          <w:tcPr>
            <w:tcW w:w="1949" w:type="dxa"/>
            <w:vAlign w:val="center"/>
          </w:tcPr>
          <w:p>
            <w:pPr>
              <w:pStyle w:val="13"/>
              <w:spacing w:after="0"/>
              <w:ind w:left="0" w:leftChars="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vAlign w:val="center"/>
          </w:tcPr>
          <w:p>
            <w:pPr>
              <w:pStyle w:val="13"/>
              <w:spacing w:after="0"/>
              <w:ind w:left="0" w:leftChars="0" w:firstLine="0" w:firstLineChars="0"/>
              <w:jc w:val="center"/>
            </w:pPr>
          </w:p>
        </w:tc>
        <w:tc>
          <w:tcPr>
            <w:tcW w:w="1790" w:type="dxa"/>
            <w:vAlign w:val="center"/>
          </w:tcPr>
          <w:p>
            <w:pPr>
              <w:pStyle w:val="13"/>
              <w:spacing w:after="0"/>
              <w:ind w:left="0" w:leftChars="0" w:firstLine="0" w:firstLineChars="0"/>
              <w:jc w:val="center"/>
            </w:pPr>
          </w:p>
        </w:tc>
        <w:tc>
          <w:tcPr>
            <w:tcW w:w="1510" w:type="dxa"/>
            <w:vAlign w:val="center"/>
          </w:tcPr>
          <w:p>
            <w:pPr>
              <w:pStyle w:val="13"/>
              <w:spacing w:after="0"/>
              <w:ind w:left="0" w:leftChars="0" w:firstLine="0" w:firstLineChars="0"/>
              <w:jc w:val="center"/>
            </w:pPr>
          </w:p>
        </w:tc>
        <w:tc>
          <w:tcPr>
            <w:tcW w:w="1840" w:type="dxa"/>
            <w:vAlign w:val="center"/>
          </w:tcPr>
          <w:p>
            <w:pPr>
              <w:pStyle w:val="13"/>
              <w:spacing w:after="0"/>
              <w:ind w:left="0" w:leftChars="0" w:firstLine="0" w:firstLineChars="0"/>
              <w:jc w:val="center"/>
            </w:pPr>
          </w:p>
        </w:tc>
        <w:tc>
          <w:tcPr>
            <w:tcW w:w="1949" w:type="dxa"/>
            <w:vAlign w:val="center"/>
          </w:tcPr>
          <w:p>
            <w:pPr>
              <w:pStyle w:val="13"/>
              <w:spacing w:after="0"/>
              <w:ind w:left="0" w:leftChars="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vAlign w:val="center"/>
          </w:tcPr>
          <w:p>
            <w:pPr>
              <w:pStyle w:val="13"/>
              <w:spacing w:after="0"/>
              <w:ind w:left="0" w:leftChars="0" w:firstLine="0" w:firstLineChars="0"/>
              <w:jc w:val="center"/>
            </w:pPr>
          </w:p>
        </w:tc>
        <w:tc>
          <w:tcPr>
            <w:tcW w:w="1790" w:type="dxa"/>
            <w:vAlign w:val="center"/>
          </w:tcPr>
          <w:p>
            <w:pPr>
              <w:pStyle w:val="13"/>
              <w:spacing w:after="0"/>
              <w:ind w:left="0" w:leftChars="0" w:firstLine="0" w:firstLineChars="0"/>
              <w:jc w:val="center"/>
            </w:pPr>
          </w:p>
        </w:tc>
        <w:tc>
          <w:tcPr>
            <w:tcW w:w="1510" w:type="dxa"/>
            <w:vAlign w:val="center"/>
          </w:tcPr>
          <w:p>
            <w:pPr>
              <w:pStyle w:val="13"/>
              <w:spacing w:after="0"/>
              <w:ind w:left="0" w:leftChars="0" w:firstLine="0" w:firstLineChars="0"/>
              <w:jc w:val="center"/>
            </w:pPr>
          </w:p>
        </w:tc>
        <w:tc>
          <w:tcPr>
            <w:tcW w:w="1840" w:type="dxa"/>
            <w:vAlign w:val="center"/>
          </w:tcPr>
          <w:p>
            <w:pPr>
              <w:pStyle w:val="13"/>
              <w:spacing w:after="0"/>
              <w:ind w:left="0" w:leftChars="0" w:firstLine="0" w:firstLineChars="0"/>
              <w:jc w:val="center"/>
            </w:pPr>
          </w:p>
        </w:tc>
        <w:tc>
          <w:tcPr>
            <w:tcW w:w="1949" w:type="dxa"/>
            <w:vAlign w:val="center"/>
          </w:tcPr>
          <w:p>
            <w:pPr>
              <w:pStyle w:val="13"/>
              <w:spacing w:after="0"/>
              <w:ind w:left="0" w:leftChars="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vAlign w:val="center"/>
          </w:tcPr>
          <w:p>
            <w:pPr>
              <w:pStyle w:val="13"/>
              <w:spacing w:after="0"/>
              <w:ind w:left="0" w:leftChars="0" w:firstLine="0" w:firstLineChars="0"/>
              <w:jc w:val="center"/>
            </w:pPr>
          </w:p>
        </w:tc>
        <w:tc>
          <w:tcPr>
            <w:tcW w:w="1790" w:type="dxa"/>
            <w:vAlign w:val="center"/>
          </w:tcPr>
          <w:p>
            <w:pPr>
              <w:pStyle w:val="13"/>
              <w:spacing w:after="0"/>
              <w:ind w:left="0" w:leftChars="0" w:firstLine="0" w:firstLineChars="0"/>
              <w:jc w:val="center"/>
            </w:pPr>
          </w:p>
        </w:tc>
        <w:tc>
          <w:tcPr>
            <w:tcW w:w="1510" w:type="dxa"/>
            <w:vAlign w:val="center"/>
          </w:tcPr>
          <w:p>
            <w:pPr>
              <w:pStyle w:val="13"/>
              <w:spacing w:after="0"/>
              <w:ind w:left="0" w:leftChars="0" w:firstLine="0" w:firstLineChars="0"/>
              <w:jc w:val="center"/>
            </w:pPr>
          </w:p>
        </w:tc>
        <w:tc>
          <w:tcPr>
            <w:tcW w:w="1840" w:type="dxa"/>
            <w:vAlign w:val="center"/>
          </w:tcPr>
          <w:p>
            <w:pPr>
              <w:pStyle w:val="13"/>
              <w:spacing w:after="0"/>
              <w:ind w:left="0" w:leftChars="0" w:firstLine="0" w:firstLineChars="0"/>
              <w:jc w:val="center"/>
            </w:pPr>
          </w:p>
        </w:tc>
        <w:tc>
          <w:tcPr>
            <w:tcW w:w="1949" w:type="dxa"/>
            <w:vAlign w:val="center"/>
          </w:tcPr>
          <w:p>
            <w:pPr>
              <w:pStyle w:val="13"/>
              <w:spacing w:after="0"/>
              <w:ind w:left="0" w:leftChars="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vAlign w:val="center"/>
          </w:tcPr>
          <w:p>
            <w:pPr>
              <w:pStyle w:val="13"/>
              <w:spacing w:after="0"/>
              <w:ind w:left="0" w:leftChars="0" w:firstLine="0" w:firstLineChars="0"/>
              <w:jc w:val="center"/>
            </w:pPr>
          </w:p>
        </w:tc>
        <w:tc>
          <w:tcPr>
            <w:tcW w:w="1790" w:type="dxa"/>
            <w:vAlign w:val="center"/>
          </w:tcPr>
          <w:p>
            <w:pPr>
              <w:pStyle w:val="13"/>
              <w:spacing w:after="0"/>
              <w:ind w:left="0" w:leftChars="0" w:firstLine="0" w:firstLineChars="0"/>
              <w:jc w:val="center"/>
            </w:pPr>
          </w:p>
        </w:tc>
        <w:tc>
          <w:tcPr>
            <w:tcW w:w="1510" w:type="dxa"/>
            <w:vAlign w:val="center"/>
          </w:tcPr>
          <w:p>
            <w:pPr>
              <w:pStyle w:val="13"/>
              <w:spacing w:after="0"/>
              <w:ind w:left="0" w:leftChars="0" w:firstLine="0" w:firstLineChars="0"/>
              <w:jc w:val="center"/>
            </w:pPr>
          </w:p>
        </w:tc>
        <w:tc>
          <w:tcPr>
            <w:tcW w:w="1840" w:type="dxa"/>
            <w:vAlign w:val="center"/>
          </w:tcPr>
          <w:p>
            <w:pPr>
              <w:pStyle w:val="13"/>
              <w:spacing w:after="0"/>
              <w:ind w:left="0" w:leftChars="0" w:firstLine="0" w:firstLineChars="0"/>
              <w:jc w:val="center"/>
            </w:pPr>
          </w:p>
        </w:tc>
        <w:tc>
          <w:tcPr>
            <w:tcW w:w="1949" w:type="dxa"/>
            <w:vAlign w:val="center"/>
          </w:tcPr>
          <w:p>
            <w:pPr>
              <w:pStyle w:val="13"/>
              <w:spacing w:after="0"/>
              <w:ind w:left="0" w:leftChars="0"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0" w:type="dxa"/>
            <w:vAlign w:val="center"/>
          </w:tcPr>
          <w:p>
            <w:pPr>
              <w:pStyle w:val="13"/>
              <w:spacing w:after="0"/>
              <w:ind w:left="0" w:leftChars="0" w:firstLine="0" w:firstLineChars="0"/>
              <w:jc w:val="center"/>
            </w:pPr>
          </w:p>
        </w:tc>
        <w:tc>
          <w:tcPr>
            <w:tcW w:w="1790" w:type="dxa"/>
            <w:vAlign w:val="center"/>
          </w:tcPr>
          <w:p>
            <w:pPr>
              <w:pStyle w:val="13"/>
              <w:spacing w:after="0"/>
              <w:ind w:left="0" w:leftChars="0" w:firstLine="0" w:firstLineChars="0"/>
              <w:jc w:val="center"/>
            </w:pPr>
          </w:p>
        </w:tc>
        <w:tc>
          <w:tcPr>
            <w:tcW w:w="1510" w:type="dxa"/>
            <w:vAlign w:val="center"/>
          </w:tcPr>
          <w:p>
            <w:pPr>
              <w:pStyle w:val="13"/>
              <w:spacing w:after="0"/>
              <w:ind w:left="0" w:leftChars="0" w:firstLine="0" w:firstLineChars="0"/>
              <w:jc w:val="center"/>
            </w:pPr>
          </w:p>
        </w:tc>
        <w:tc>
          <w:tcPr>
            <w:tcW w:w="1840" w:type="dxa"/>
            <w:vAlign w:val="center"/>
          </w:tcPr>
          <w:p>
            <w:pPr>
              <w:pStyle w:val="13"/>
              <w:spacing w:after="0"/>
              <w:ind w:left="0" w:leftChars="0" w:firstLine="0" w:firstLineChars="0"/>
              <w:jc w:val="center"/>
            </w:pPr>
          </w:p>
        </w:tc>
        <w:tc>
          <w:tcPr>
            <w:tcW w:w="1949" w:type="dxa"/>
            <w:vAlign w:val="center"/>
          </w:tcPr>
          <w:p>
            <w:pPr>
              <w:pStyle w:val="13"/>
              <w:spacing w:after="0"/>
              <w:ind w:left="0" w:leftChars="0" w:firstLine="0" w:firstLineChars="0"/>
              <w:jc w:val="center"/>
            </w:pPr>
          </w:p>
        </w:tc>
      </w:tr>
    </w:tbl>
    <w:p>
      <w:pPr>
        <w:pStyle w:val="24"/>
        <w:spacing w:before="156" w:beforeLines="50"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任务2：</w:t>
      </w:r>
      <w:r>
        <w:rPr>
          <w:rFonts w:hint="eastAsia" w:ascii="Times New Roman" w:hAnsi="Times New Roman" w:cs="Times New Roman"/>
          <w:b/>
          <w:bCs/>
          <w:sz w:val="24"/>
          <w:szCs w:val="24"/>
        </w:rPr>
        <w:t>绘制拓扑图</w:t>
      </w:r>
    </w:p>
    <w:p>
      <w:pPr>
        <w:spacing w:line="360" w:lineRule="auto"/>
        <w:ind w:firstLine="480" w:firstLineChars="200"/>
        <w:rPr>
          <w:sz w:val="24"/>
        </w:rPr>
      </w:pPr>
      <w:r>
        <w:rPr>
          <w:rFonts w:hint="eastAsia"/>
          <w:sz w:val="24"/>
        </w:rPr>
        <w:t>（1）采用工业网络控制设计软件进行绘制，包括根据设计方案中确定的设备进行选型、组网，完成虚拟系统的搭建。</w:t>
      </w:r>
    </w:p>
    <w:p>
      <w:pPr>
        <w:spacing w:line="360" w:lineRule="auto"/>
        <w:ind w:firstLine="480"/>
        <w:rPr>
          <w:sz w:val="24"/>
        </w:rPr>
      </w:pPr>
      <w:r>
        <w:rPr>
          <w:rFonts w:hint="eastAsia"/>
          <w:sz w:val="24"/>
        </w:rPr>
        <w:t>（2）使用网络拓扑图设计软件设计整个网络架构拓扑图，完成智能生产系统的边缘层，包括设备层、控制层、数据接入层），应用层、网络层的绘制。同时，在网络拓扑图中标注各设备之间所采用的工业网络通讯总线，不同工业网络通讯总线采用不同颜色线条标注。并将绘制的文件保存。</w:t>
      </w:r>
    </w:p>
    <w:p>
      <w:pPr>
        <w:pStyle w:val="24"/>
        <w:spacing w:before="156" w:beforeLines="50"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任务3：</w:t>
      </w:r>
      <w:r>
        <w:rPr>
          <w:rFonts w:hint="eastAsia" w:ascii="Times New Roman" w:hAnsi="Times New Roman" w:cs="Times New Roman"/>
          <w:b/>
          <w:bCs/>
          <w:sz w:val="24"/>
          <w:szCs w:val="24"/>
        </w:rPr>
        <w:t>配置I</w:t>
      </w:r>
      <w:r>
        <w:rPr>
          <w:rFonts w:ascii="Times New Roman" w:hAnsi="Times New Roman" w:cs="Times New Roman"/>
          <w:b/>
          <w:bCs/>
          <w:sz w:val="24"/>
          <w:szCs w:val="24"/>
        </w:rPr>
        <w:t>P</w:t>
      </w:r>
      <w:r>
        <w:rPr>
          <w:rFonts w:hint="eastAsia" w:ascii="Times New Roman" w:hAnsi="Times New Roman" w:cs="Times New Roman"/>
          <w:b/>
          <w:bCs/>
          <w:sz w:val="24"/>
          <w:szCs w:val="24"/>
        </w:rPr>
        <w:t>地址表</w:t>
      </w:r>
    </w:p>
    <w:p>
      <w:pPr>
        <w:spacing w:line="360" w:lineRule="auto"/>
        <w:ind w:firstLine="480"/>
        <w:rPr>
          <w:sz w:val="24"/>
        </w:rPr>
      </w:pPr>
      <w:r>
        <w:rPr>
          <w:rFonts w:hint="eastAsia"/>
          <w:sz w:val="24"/>
        </w:rPr>
        <w:t>根据系统网络结构，对远程服务器，工作站运维计算机，数据管理网络中主控PLC、触摸屏，生产线PLC、伺服驱动器、扫码器和搬移机械装置等网络设备IP地址进行规划和分配。</w:t>
      </w:r>
    </w:p>
    <w:p>
      <w:pPr>
        <w:pStyle w:val="13"/>
        <w:spacing w:before="156" w:beforeLines="50" w:after="0"/>
        <w:jc w:val="center"/>
      </w:pPr>
      <w:r>
        <w:rPr>
          <w:rFonts w:hint="eastAsia"/>
        </w:rPr>
        <w:t>表2 系统IP地址分配表</w:t>
      </w:r>
    </w:p>
    <w:tbl>
      <w:tblPr>
        <w:tblStyle w:val="15"/>
        <w:tblW w:w="6960" w:type="dxa"/>
        <w:tblInd w:w="8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0"/>
        <w:gridCol w:w="2460"/>
        <w:gridCol w:w="3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序号</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设备名称</w:t>
            </w:r>
          </w:p>
        </w:tc>
        <w:tc>
          <w:tcPr>
            <w:tcW w:w="312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IP地址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3</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4</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5</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6</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7</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8</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9</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3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10</w:t>
            </w:r>
          </w:p>
        </w:tc>
        <w:tc>
          <w:tcPr>
            <w:tcW w:w="2460" w:type="dxa"/>
            <w:tcBorders>
              <w:top w:val="single" w:color="auto" w:sz="4" w:space="0"/>
              <w:left w:val="single" w:color="auto" w:sz="4" w:space="0"/>
              <w:bottom w:val="single" w:color="auto" w:sz="4" w:space="0"/>
              <w:right w:val="single" w:color="auto" w:sz="4" w:space="0"/>
            </w:tcBorders>
            <w:vAlign w:val="center"/>
          </w:tcPr>
          <w:p>
            <w:pPr>
              <w:jc w:val="center"/>
            </w:pPr>
          </w:p>
        </w:tc>
        <w:tc>
          <w:tcPr>
            <w:tcW w:w="3120" w:type="dxa"/>
            <w:tcBorders>
              <w:top w:val="single" w:color="auto" w:sz="4" w:space="0"/>
              <w:left w:val="single" w:color="auto" w:sz="4" w:space="0"/>
              <w:bottom w:val="single" w:color="auto" w:sz="4" w:space="0"/>
              <w:right w:val="single" w:color="auto" w:sz="4" w:space="0"/>
            </w:tcBorders>
            <w:vAlign w:val="center"/>
          </w:tcPr>
          <w:p>
            <w:pPr>
              <w:jc w:val="center"/>
            </w:pPr>
          </w:p>
        </w:tc>
      </w:tr>
    </w:tbl>
    <w:p>
      <w:pPr>
        <w:pStyle w:val="24"/>
        <w:spacing w:before="156" w:beforeLines="50"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w:t>
      </w:r>
      <w:r>
        <w:rPr>
          <w:rFonts w:hint="eastAsia" w:ascii="Times New Roman" w:hAnsi="Times New Roman" w:cs="Times New Roman"/>
          <w:b/>
          <w:bCs/>
          <w:sz w:val="24"/>
          <w:szCs w:val="24"/>
        </w:rPr>
        <w:t>4：工业网络虚拟仿真系统设计与调试</w:t>
      </w:r>
    </w:p>
    <w:p>
      <w:pPr>
        <w:spacing w:line="360" w:lineRule="auto"/>
        <w:ind w:firstLine="480" w:firstLineChars="200"/>
        <w:rPr>
          <w:sz w:val="24"/>
        </w:rPr>
      </w:pPr>
      <w:r>
        <w:rPr>
          <w:rFonts w:hint="eastAsia"/>
          <w:sz w:val="24"/>
        </w:rPr>
        <w:t>1、模型仿真设计</w:t>
      </w:r>
    </w:p>
    <w:p>
      <w:pPr>
        <w:spacing w:line="360" w:lineRule="auto"/>
        <w:ind w:firstLine="480" w:firstLineChars="200"/>
        <w:rPr>
          <w:sz w:val="24"/>
        </w:rPr>
      </w:pPr>
      <w:r>
        <w:rPr>
          <w:rFonts w:hint="eastAsia"/>
          <w:sz w:val="24"/>
        </w:rPr>
        <w:t>（1）完成自动供料模块模型的机械/电气行为定义；</w:t>
      </w:r>
    </w:p>
    <w:p>
      <w:pPr>
        <w:spacing w:line="360" w:lineRule="auto"/>
        <w:ind w:firstLine="480" w:firstLineChars="200"/>
        <w:rPr>
          <w:sz w:val="24"/>
        </w:rPr>
      </w:pPr>
      <w:r>
        <w:rPr>
          <w:rFonts w:hint="eastAsia"/>
          <w:sz w:val="24"/>
        </w:rPr>
        <w:t>（2）完成智能分拣检测模块模型的机械/电气行为定义；</w:t>
      </w:r>
    </w:p>
    <w:p>
      <w:pPr>
        <w:spacing w:line="360" w:lineRule="auto"/>
        <w:ind w:firstLine="480" w:firstLineChars="200"/>
        <w:rPr>
          <w:sz w:val="24"/>
        </w:rPr>
      </w:pPr>
      <w:r>
        <w:rPr>
          <w:rFonts w:hint="eastAsia"/>
          <w:sz w:val="24"/>
        </w:rPr>
        <w:t>（3）完成装配模块模型的机械/电气行为定义；</w:t>
      </w:r>
    </w:p>
    <w:p>
      <w:pPr>
        <w:spacing w:line="360" w:lineRule="auto"/>
        <w:ind w:firstLine="480" w:firstLineChars="200"/>
        <w:rPr>
          <w:sz w:val="24"/>
        </w:rPr>
      </w:pPr>
      <w:r>
        <w:rPr>
          <w:rFonts w:hint="eastAsia"/>
          <w:sz w:val="24"/>
        </w:rPr>
        <w:t>（4）完成仓储模块模型的机械/电气行为定义；</w:t>
      </w:r>
    </w:p>
    <w:p>
      <w:pPr>
        <w:spacing w:line="360" w:lineRule="auto"/>
        <w:ind w:firstLine="480" w:firstLineChars="200"/>
        <w:rPr>
          <w:sz w:val="24"/>
        </w:rPr>
      </w:pPr>
      <w:r>
        <w:rPr>
          <w:rFonts w:hint="eastAsia"/>
          <w:sz w:val="24"/>
        </w:rPr>
        <w:t>（5）完成仿真场景所需的外部变量配置与信号映射。</w:t>
      </w:r>
    </w:p>
    <w:p>
      <w:pPr>
        <w:spacing w:line="360" w:lineRule="auto"/>
        <w:ind w:firstLine="480" w:firstLineChars="200"/>
        <w:rPr>
          <w:sz w:val="24"/>
        </w:rPr>
      </w:pPr>
      <w:r>
        <w:rPr>
          <w:rFonts w:hint="eastAsia"/>
          <w:sz w:val="24"/>
        </w:rPr>
        <w:t>2、虚拟仿真程序设计</w:t>
      </w:r>
    </w:p>
    <w:p>
      <w:pPr>
        <w:spacing w:line="360" w:lineRule="auto"/>
        <w:ind w:firstLine="480" w:firstLineChars="200"/>
        <w:rPr>
          <w:sz w:val="24"/>
        </w:rPr>
      </w:pPr>
      <w:r>
        <w:rPr>
          <w:rFonts w:hint="eastAsia"/>
          <w:sz w:val="24"/>
        </w:rPr>
        <w:t>（1）完成虚拟仿真PLC程序编写，实现控制自动供料模块、分拣模块、装配模块、仓储模块；</w:t>
      </w:r>
    </w:p>
    <w:p>
      <w:pPr>
        <w:spacing w:line="360" w:lineRule="auto"/>
        <w:ind w:firstLine="480" w:firstLineChars="200"/>
        <w:rPr>
          <w:sz w:val="24"/>
        </w:rPr>
      </w:pPr>
      <w:r>
        <w:rPr>
          <w:rFonts w:hint="eastAsia"/>
          <w:sz w:val="24"/>
        </w:rPr>
        <w:t>（2）设计触摸屏界面，编写通信程序，实现触摸屏可控制分拣检测模块的气缸手动测试；</w:t>
      </w:r>
    </w:p>
    <w:p>
      <w:pPr>
        <w:spacing w:line="360" w:lineRule="auto"/>
        <w:ind w:firstLine="480" w:firstLineChars="200"/>
        <w:rPr>
          <w:sz w:val="24"/>
        </w:rPr>
      </w:pPr>
      <w:r>
        <w:rPr>
          <w:rFonts w:hint="eastAsia"/>
          <w:sz w:val="24"/>
        </w:rPr>
        <w:t>（3）触摸屏界面可启动、停止虚拟仿真流程。</w:t>
      </w:r>
    </w:p>
    <w:p>
      <w:pPr>
        <w:spacing w:line="360" w:lineRule="auto"/>
        <w:ind w:firstLine="480" w:firstLineChars="200"/>
        <w:rPr>
          <w:sz w:val="24"/>
        </w:rPr>
      </w:pPr>
      <w:r>
        <w:rPr>
          <w:rFonts w:hint="eastAsia"/>
          <w:sz w:val="24"/>
        </w:rPr>
        <w:t>3、工业网络智能控制系统的虚拟调试</w:t>
      </w:r>
    </w:p>
    <w:p>
      <w:pPr>
        <w:spacing w:line="360" w:lineRule="auto"/>
        <w:ind w:firstLine="480" w:firstLineChars="200"/>
        <w:rPr>
          <w:sz w:val="24"/>
        </w:rPr>
      </w:pPr>
      <w:r>
        <w:rPr>
          <w:rFonts w:hint="eastAsia"/>
          <w:sz w:val="24"/>
        </w:rPr>
        <w:t>（1）完成对控制单元中的P</w:t>
      </w:r>
      <w:r>
        <w:rPr>
          <w:sz w:val="24"/>
        </w:rPr>
        <w:t>LC</w:t>
      </w:r>
      <w:r>
        <w:rPr>
          <w:rFonts w:hint="eastAsia"/>
          <w:sz w:val="24"/>
        </w:rPr>
        <w:t>模块的程序编写；</w:t>
      </w:r>
    </w:p>
    <w:p>
      <w:pPr>
        <w:spacing w:line="360" w:lineRule="auto"/>
        <w:ind w:firstLine="480" w:firstLineChars="200"/>
        <w:rPr>
          <w:sz w:val="24"/>
        </w:rPr>
      </w:pPr>
      <w:r>
        <w:rPr>
          <w:rFonts w:hint="eastAsia"/>
          <w:sz w:val="24"/>
        </w:rPr>
        <w:t>（2）完成对信息管理单元中的触摸屏模块的H</w:t>
      </w:r>
      <w:r>
        <w:rPr>
          <w:sz w:val="24"/>
        </w:rPr>
        <w:t>MI</w:t>
      </w:r>
      <w:r>
        <w:rPr>
          <w:rFonts w:hint="eastAsia"/>
          <w:sz w:val="24"/>
        </w:rPr>
        <w:t>程序编写；</w:t>
      </w:r>
    </w:p>
    <w:p>
      <w:pPr>
        <w:spacing w:line="360" w:lineRule="auto"/>
        <w:ind w:firstLine="480" w:firstLineChars="200"/>
        <w:rPr>
          <w:sz w:val="24"/>
        </w:rPr>
      </w:pPr>
      <w:r>
        <w:rPr>
          <w:rFonts w:hint="eastAsia"/>
          <w:sz w:val="24"/>
        </w:rPr>
        <w:t>（3）按照料块供料、料块在转盘上各工位检测、料芯装配、料块分拣、工艺信息</w:t>
      </w:r>
      <w:r>
        <w:rPr>
          <w:sz w:val="24"/>
        </w:rPr>
        <w:t>RFID</w:t>
      </w:r>
      <w:r>
        <w:rPr>
          <w:rFonts w:hint="eastAsia"/>
          <w:sz w:val="24"/>
        </w:rPr>
        <w:t>写入的工艺流程，将虚拟仿真模型配合PLC程序与HMI程序，实现3个料芯完整的工艺流程联调运行。</w:t>
      </w:r>
    </w:p>
    <w:p>
      <w:pPr>
        <w:pStyle w:val="24"/>
        <w:spacing w:before="156" w:beforeLines="50"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w:t>
      </w:r>
      <w:r>
        <w:rPr>
          <w:rFonts w:hint="eastAsia" w:ascii="Times New Roman" w:hAnsi="Times New Roman" w:cs="Times New Roman"/>
          <w:b/>
          <w:bCs/>
          <w:sz w:val="24"/>
          <w:szCs w:val="24"/>
        </w:rPr>
        <w:t>5：工业网络物理系统安装与组网</w:t>
      </w:r>
    </w:p>
    <w:p>
      <w:pPr>
        <w:spacing w:line="360" w:lineRule="auto"/>
        <w:ind w:firstLine="482" w:firstLineChars="200"/>
        <w:rPr>
          <w:b/>
          <w:sz w:val="24"/>
        </w:rPr>
      </w:pPr>
      <w:r>
        <w:rPr>
          <w:rFonts w:hint="eastAsia"/>
          <w:b/>
          <w:sz w:val="24"/>
        </w:rPr>
        <w:t>（</w:t>
      </w:r>
      <w:r>
        <w:rPr>
          <w:b/>
          <w:sz w:val="24"/>
        </w:rPr>
        <w:t>1</w:t>
      </w:r>
      <w:r>
        <w:rPr>
          <w:rFonts w:hint="eastAsia"/>
          <w:b/>
          <w:sz w:val="24"/>
        </w:rPr>
        <w:t>）设备安装</w:t>
      </w:r>
    </w:p>
    <w:p>
      <w:pPr>
        <w:spacing w:line="360" w:lineRule="auto"/>
        <w:rPr>
          <w:sz w:val="24"/>
        </w:rPr>
      </w:pPr>
      <w:r>
        <w:rPr>
          <w:rFonts w:hint="eastAsia"/>
          <w:sz w:val="24"/>
        </w:rPr>
        <w:t xml:space="preserve"> </w:t>
      </w:r>
      <w:r>
        <w:rPr>
          <w:sz w:val="24"/>
        </w:rPr>
        <w:t xml:space="preserve">   </w:t>
      </w:r>
      <w:r>
        <w:rPr>
          <w:rFonts w:hint="eastAsia"/>
          <w:sz w:val="24"/>
        </w:rPr>
        <w:t>根据设计方案和仿真结果进行部件或设备选型，如根据检测物理量选择相应传感器；根据要求的气动控制要求，选择合适的气动执行设备；根据运动控制要求，选择合适的驱动电机，等等，并将这些设备安装固定，要求符合相关电气施工规范的国家和行业标准。</w:t>
      </w:r>
    </w:p>
    <w:p>
      <w:pPr>
        <w:spacing w:line="360" w:lineRule="auto"/>
        <w:ind w:firstLine="482" w:firstLineChars="200"/>
        <w:rPr>
          <w:b/>
          <w:sz w:val="24"/>
        </w:rPr>
      </w:pPr>
      <w:r>
        <w:rPr>
          <w:rFonts w:hint="eastAsia"/>
          <w:b/>
          <w:sz w:val="24"/>
        </w:rPr>
        <w:t>（2）系统组网</w:t>
      </w:r>
    </w:p>
    <w:p>
      <w:pPr>
        <w:spacing w:line="360" w:lineRule="auto"/>
        <w:ind w:firstLine="480"/>
        <w:rPr>
          <w:sz w:val="24"/>
        </w:rPr>
      </w:pPr>
      <w:r>
        <w:rPr>
          <w:rFonts w:hint="eastAsia"/>
          <w:sz w:val="24"/>
        </w:rPr>
        <w:t>将相关设备采用对应的通信接口和线缆进行连接，完成系统组网，如工业以太网连接、现场总线设备连接、无线通信设备连接。安装过程中，元部件、设备安装，线缆表示和固定、线段压线等均符合工业电气相关电气施工规范的国家和行业标准。</w:t>
      </w:r>
    </w:p>
    <w:p>
      <w:pPr>
        <w:pStyle w:val="24"/>
        <w:spacing w:before="156" w:beforeLines="50"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w:t>
      </w:r>
      <w:r>
        <w:rPr>
          <w:rFonts w:hint="eastAsia" w:ascii="Times New Roman" w:hAnsi="Times New Roman" w:cs="Times New Roman"/>
          <w:b/>
          <w:bCs/>
          <w:sz w:val="24"/>
          <w:szCs w:val="24"/>
        </w:rPr>
        <w:t>6：工业网络参数配置与测试</w:t>
      </w:r>
    </w:p>
    <w:p>
      <w:pPr>
        <w:spacing w:line="360" w:lineRule="auto"/>
        <w:ind w:firstLine="480" w:firstLineChars="200"/>
        <w:rPr>
          <w:sz w:val="24"/>
        </w:rPr>
      </w:pPr>
      <w:r>
        <w:rPr>
          <w:rFonts w:hint="eastAsia"/>
          <w:sz w:val="24"/>
        </w:rPr>
        <w:t>需要完成相关网络系统参数设定，使系统能进行网络通讯测试，要求：</w:t>
      </w:r>
    </w:p>
    <w:p>
      <w:pPr>
        <w:spacing w:line="360" w:lineRule="auto"/>
        <w:ind w:firstLine="480" w:firstLineChars="200"/>
        <w:rPr>
          <w:sz w:val="24"/>
        </w:rPr>
      </w:pPr>
      <w:r>
        <w:rPr>
          <w:rFonts w:hint="eastAsia"/>
          <w:sz w:val="24"/>
        </w:rPr>
        <w:t>（1）智能电量采集表采用RS-485总线与PLC连接，使用Modbus协议通信（RTU），并填写“RS485通讯参数设定表”表格；使用“USB转RS485”将感知设备总线连接至计算机USB口。根据“通讯参数设定表”，使用串口调试工具检测设备的连通完好性，并保存测试结果。</w:t>
      </w:r>
    </w:p>
    <w:p>
      <w:pPr>
        <w:spacing w:line="360" w:lineRule="auto"/>
        <w:ind w:firstLine="480" w:firstLineChars="200"/>
        <w:rPr>
          <w:sz w:val="24"/>
        </w:rPr>
      </w:pPr>
      <w:r>
        <w:rPr>
          <w:rFonts w:hint="eastAsia"/>
          <w:sz w:val="24"/>
        </w:rPr>
        <w:t>（2） PLC与人机界面、伺服驱动等设备部件之间采用ProfiNet的通讯方式。</w:t>
      </w:r>
    </w:p>
    <w:p>
      <w:pPr>
        <w:spacing w:line="360" w:lineRule="auto"/>
        <w:ind w:firstLine="480" w:firstLineChars="200"/>
        <w:rPr>
          <w:sz w:val="24"/>
        </w:rPr>
      </w:pPr>
      <w:r>
        <w:rPr>
          <w:rFonts w:hint="eastAsia"/>
          <w:sz w:val="24"/>
        </w:rPr>
        <w:t>（3）PLC与金属传感器、颜色传感器等检测设备部件之间采用IO-Link协议的通讯方式。</w:t>
      </w:r>
    </w:p>
    <w:p>
      <w:pPr>
        <w:spacing w:line="360" w:lineRule="auto"/>
        <w:ind w:firstLine="480" w:firstLineChars="200"/>
        <w:rPr>
          <w:rFonts w:hint="eastAsia"/>
          <w:sz w:val="24"/>
          <w:lang w:val="en-US" w:eastAsia="zh-CN"/>
        </w:rPr>
      </w:pPr>
      <w:r>
        <w:rPr>
          <w:rFonts w:hint="eastAsia"/>
          <w:sz w:val="24"/>
          <w:lang w:eastAsia="zh-CN"/>
        </w:rPr>
        <w:t>（</w:t>
      </w:r>
      <w:r>
        <w:rPr>
          <w:rFonts w:hint="eastAsia"/>
          <w:sz w:val="24"/>
          <w:lang w:val="en-US" w:eastAsia="zh-CN"/>
        </w:rPr>
        <w:t>4</w:t>
      </w:r>
      <w:r>
        <w:rPr>
          <w:rFonts w:hint="eastAsia"/>
          <w:sz w:val="24"/>
          <w:lang w:eastAsia="zh-CN"/>
        </w:rPr>
        <w:t>）</w:t>
      </w:r>
      <w:r>
        <w:rPr>
          <w:rFonts w:hint="eastAsia"/>
          <w:sz w:val="24"/>
          <w:lang w:val="en-US" w:eastAsia="zh-CN"/>
        </w:rPr>
        <w:t>设置智能网关的IP地址及参数；</w:t>
      </w:r>
    </w:p>
    <w:p>
      <w:pPr>
        <w:spacing w:line="360" w:lineRule="auto"/>
        <w:ind w:firstLine="480" w:firstLineChars="200"/>
        <w:rPr>
          <w:rFonts w:hint="default"/>
          <w:sz w:val="24"/>
          <w:lang w:val="en-US" w:eastAsia="zh-CN"/>
        </w:rPr>
      </w:pPr>
      <w:r>
        <w:rPr>
          <w:rFonts w:hint="eastAsia"/>
          <w:sz w:val="24"/>
          <w:lang w:val="en-US" w:eastAsia="zh-CN"/>
        </w:rPr>
        <w:t>（5）设置电脑工作站的通信参数；</w:t>
      </w:r>
    </w:p>
    <w:p>
      <w:pPr>
        <w:spacing w:line="360" w:lineRule="auto"/>
        <w:ind w:firstLine="480" w:firstLineChars="200"/>
        <w:rPr>
          <w:sz w:val="24"/>
        </w:rPr>
      </w:pPr>
      <w:r>
        <w:rPr>
          <w:rFonts w:hint="eastAsia"/>
          <w:sz w:val="24"/>
        </w:rPr>
        <w:t>（</w:t>
      </w:r>
      <w:r>
        <w:rPr>
          <w:rFonts w:hint="eastAsia"/>
          <w:sz w:val="24"/>
          <w:lang w:val="en-US" w:eastAsia="zh-CN"/>
        </w:rPr>
        <w:t>6</w:t>
      </w:r>
      <w:r>
        <w:rPr>
          <w:rFonts w:hint="eastAsia"/>
          <w:sz w:val="24"/>
        </w:rPr>
        <w:t>）PLC与RFID读写器之间采用Modbus TCP的通讯方式。</w:t>
      </w:r>
    </w:p>
    <w:p>
      <w:bookmarkStart w:id="0" w:name="_GoBack"/>
      <w:bookmarkEnd w:id="0"/>
    </w:p>
    <w:p>
      <w:pPr>
        <w:spacing w:line="360" w:lineRule="auto"/>
        <w:outlineLvl w:val="1"/>
        <w:rPr>
          <w:b/>
          <w:bCs/>
          <w:sz w:val="28"/>
          <w:szCs w:val="28"/>
        </w:rPr>
      </w:pPr>
      <w:r>
        <w:rPr>
          <w:b/>
          <w:bCs/>
          <w:sz w:val="28"/>
          <w:szCs w:val="28"/>
        </w:rPr>
        <w:t>模块二</w:t>
      </w:r>
      <w:r>
        <w:rPr>
          <w:rFonts w:hint="eastAsia"/>
          <w:b/>
          <w:bCs/>
          <w:sz w:val="28"/>
          <w:szCs w:val="28"/>
        </w:rPr>
        <w:t>：工业网络智能控制与维护系统集成与调试</w:t>
      </w:r>
    </w:p>
    <w:p>
      <w:pPr>
        <w:pStyle w:val="24"/>
        <w:spacing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w:t>
      </w:r>
      <w:r>
        <w:rPr>
          <w:rFonts w:hint="eastAsia" w:ascii="Times New Roman" w:hAnsi="Times New Roman" w:cs="Times New Roman"/>
          <w:b/>
          <w:bCs/>
          <w:sz w:val="24"/>
          <w:szCs w:val="24"/>
        </w:rPr>
        <w:t>1：网络系统调试</w:t>
      </w:r>
    </w:p>
    <w:p>
      <w:pPr>
        <w:spacing w:line="360" w:lineRule="auto"/>
        <w:ind w:firstLine="480" w:firstLineChars="200"/>
        <w:rPr>
          <w:sz w:val="24"/>
        </w:rPr>
      </w:pPr>
      <w:r>
        <w:rPr>
          <w:rFonts w:hint="eastAsia"/>
          <w:sz w:val="24"/>
        </w:rPr>
        <w:t>（1）网络设备上电后，判定各设备指示器是否正常；</w:t>
      </w:r>
    </w:p>
    <w:p>
      <w:pPr>
        <w:spacing w:line="360" w:lineRule="auto"/>
        <w:ind w:firstLine="480" w:firstLineChars="200"/>
        <w:rPr>
          <w:sz w:val="24"/>
        </w:rPr>
      </w:pPr>
      <w:r>
        <w:rPr>
          <w:rFonts w:hint="eastAsia"/>
          <w:sz w:val="24"/>
        </w:rPr>
        <w:t>（2）使用网线测试工具进行信号联通性测试；</w:t>
      </w:r>
    </w:p>
    <w:p>
      <w:pPr>
        <w:spacing w:line="360" w:lineRule="auto"/>
        <w:ind w:firstLine="480" w:firstLineChars="200"/>
        <w:rPr>
          <w:sz w:val="24"/>
        </w:rPr>
      </w:pPr>
      <w:r>
        <w:rPr>
          <w:rFonts w:hint="eastAsia"/>
          <w:sz w:val="24"/>
        </w:rPr>
        <w:t>（3） 通过三层交换机管理界面，将各三层交换机相关端口配置为组环网端口；</w:t>
      </w:r>
    </w:p>
    <w:p>
      <w:pPr>
        <w:spacing w:line="360" w:lineRule="auto"/>
        <w:ind w:firstLine="480" w:firstLineChars="200"/>
        <w:rPr>
          <w:sz w:val="24"/>
        </w:rPr>
      </w:pPr>
      <w:r>
        <w:rPr>
          <w:rFonts w:hint="eastAsia"/>
          <w:sz w:val="24"/>
        </w:rPr>
        <w:t>（4）完成各三层交换机环网参数配置，使数据能够在环网中传输。</w:t>
      </w:r>
    </w:p>
    <w:p>
      <w:pPr>
        <w:pStyle w:val="24"/>
        <w:spacing w:before="156" w:beforeLines="50"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w:t>
      </w:r>
      <w:r>
        <w:rPr>
          <w:rFonts w:hint="eastAsia" w:ascii="Times New Roman" w:hAnsi="Times New Roman" w:cs="Times New Roman"/>
          <w:b/>
          <w:bCs/>
          <w:sz w:val="24"/>
          <w:szCs w:val="24"/>
        </w:rPr>
        <w:t>2：物料转运模块调试</w:t>
      </w:r>
    </w:p>
    <w:p>
      <w:pPr>
        <w:spacing w:line="360" w:lineRule="auto"/>
        <w:ind w:firstLine="480" w:firstLineChars="200"/>
        <w:rPr>
          <w:sz w:val="24"/>
        </w:rPr>
      </w:pPr>
      <w:r>
        <w:rPr>
          <w:sz w:val="24"/>
        </w:rPr>
        <w:t>（1</w:t>
      </w:r>
      <w:r>
        <w:rPr>
          <w:rFonts w:hint="eastAsia"/>
          <w:sz w:val="24"/>
        </w:rPr>
        <w:t>）电机手动调试。根据任务书所要求选择传输模块的驱动电机（步进电机驱动或变频器驱动）。在触摸屏中电机运行参数模块中，输入转盘电机的旋转速度、加速度、减速度参数；当按下转盘手动正转按钮时，转盘正常正转；当按下转盘手动反转按钮时，转盘正常反转；转盘旋转的同时，通过速度传感器检测输转盘运行速度，并实时显示在触摸屏中。</w:t>
      </w:r>
    </w:p>
    <w:p>
      <w:pPr>
        <w:spacing w:line="360" w:lineRule="auto"/>
        <w:ind w:firstLine="480" w:firstLineChars="200"/>
        <w:rPr>
          <w:sz w:val="24"/>
        </w:rPr>
      </w:pPr>
      <w:r>
        <w:rPr>
          <w:sz w:val="24"/>
        </w:rPr>
        <w:t>（2</w:t>
      </w:r>
      <w:r>
        <w:rPr>
          <w:rFonts w:hint="eastAsia"/>
          <w:sz w:val="24"/>
        </w:rPr>
        <w:t>）料井供料装置手动调试。可通过按下“料井推料气缸”按钮控制气缸伸出与缩回，并在触摸屏中用指示灯显示对应气缸限位位置。</w:t>
      </w:r>
    </w:p>
    <w:p>
      <w:pPr>
        <w:pStyle w:val="24"/>
        <w:spacing w:before="156" w:beforeLines="50"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w:t>
      </w:r>
      <w:r>
        <w:rPr>
          <w:rFonts w:hint="eastAsia" w:ascii="Times New Roman" w:hAnsi="Times New Roman" w:cs="Times New Roman"/>
          <w:b/>
          <w:bCs/>
          <w:sz w:val="24"/>
          <w:szCs w:val="24"/>
        </w:rPr>
        <w:t>3</w:t>
      </w:r>
      <w:r>
        <w:rPr>
          <w:rFonts w:ascii="Times New Roman" w:hAnsi="Times New Roman" w:cs="Times New Roman"/>
          <w:b/>
          <w:bCs/>
          <w:sz w:val="24"/>
          <w:szCs w:val="24"/>
        </w:rPr>
        <w:t>：</w:t>
      </w:r>
      <w:r>
        <w:rPr>
          <w:rFonts w:hint="eastAsia" w:ascii="Times New Roman" w:hAnsi="Times New Roman" w:cs="Times New Roman"/>
          <w:b/>
          <w:bCs/>
          <w:sz w:val="24"/>
          <w:szCs w:val="24"/>
        </w:rPr>
        <w:t>物料装配模块调试</w:t>
      </w:r>
    </w:p>
    <w:p>
      <w:pPr>
        <w:pStyle w:val="24"/>
        <w:spacing w:line="360" w:lineRule="auto"/>
        <w:ind w:firstLine="480" w:firstLineChars="200"/>
        <w:rPr>
          <w:sz w:val="24"/>
          <w:szCs w:val="24"/>
        </w:rPr>
      </w:pPr>
      <w:r>
        <w:rPr>
          <w:rFonts w:hint="eastAsia" w:ascii="Times New Roman" w:hAnsi="Times New Roman" w:cs="Times New Roman"/>
          <w:sz w:val="24"/>
          <w:szCs w:val="24"/>
        </w:rPr>
        <w:t>（1）料芯推料装置手动调试。</w:t>
      </w:r>
      <w:r>
        <w:rPr>
          <w:rFonts w:hint="eastAsia"/>
          <w:sz w:val="24"/>
          <w:szCs w:val="24"/>
        </w:rPr>
        <w:t>可通过按下“推料气缸”按钮控制气缸伸出与缩回，并在触摸屏中用指示灯显示对应气缸限位位置。</w:t>
      </w:r>
    </w:p>
    <w:p>
      <w:pPr>
        <w:pStyle w:val="24"/>
        <w:spacing w:line="360" w:lineRule="auto"/>
        <w:ind w:firstLine="480" w:firstLineChars="200"/>
        <w:rPr>
          <w:sz w:val="24"/>
          <w:szCs w:val="24"/>
        </w:rPr>
      </w:pPr>
      <w:r>
        <w:rPr>
          <w:rFonts w:hint="eastAsia"/>
          <w:sz w:val="24"/>
          <w:szCs w:val="24"/>
        </w:rPr>
        <w:t>（2）料芯冲压装置手动调试。可通过按下“冲压气缸”按钮控制气缸伸出与缩回，并在触摸屏中用指示灯显示对应气缸限位位置。</w:t>
      </w:r>
    </w:p>
    <w:p>
      <w:pPr>
        <w:pStyle w:val="24"/>
        <w:spacing w:line="360" w:lineRule="auto"/>
        <w:ind w:left="480"/>
        <w:rPr>
          <w:rFonts w:ascii="Times New Roman" w:hAnsi="Times New Roman" w:cs="Times New Roman"/>
          <w:sz w:val="24"/>
          <w:szCs w:val="24"/>
        </w:rPr>
      </w:pPr>
      <w:r>
        <w:rPr>
          <w:rFonts w:hint="eastAsia"/>
          <w:sz w:val="24"/>
          <w:szCs w:val="24"/>
        </w:rPr>
        <w:t>（3）在自动调试模式下，可配合物料运转完成料芯装配任务。</w:t>
      </w:r>
    </w:p>
    <w:p>
      <w:pPr>
        <w:pStyle w:val="24"/>
        <w:spacing w:before="156" w:beforeLines="50"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w:t>
      </w:r>
      <w:r>
        <w:rPr>
          <w:rFonts w:hint="eastAsia" w:ascii="Times New Roman" w:hAnsi="Times New Roman" w:cs="Times New Roman"/>
          <w:b/>
          <w:bCs/>
          <w:sz w:val="24"/>
          <w:szCs w:val="24"/>
        </w:rPr>
        <w:t>4：物料检测模块调试</w:t>
      </w:r>
    </w:p>
    <w:p>
      <w:pPr>
        <w:pStyle w:val="24"/>
        <w:numPr>
          <w:ilvl w:val="0"/>
          <w:numId w:val="2"/>
        </w:numPr>
        <w:spacing w:line="360"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rPr>
        <w:t>编程实现物料重量检测，可在触摸屏显示对于重量值。</w:t>
      </w:r>
    </w:p>
    <w:p>
      <w:pPr>
        <w:pStyle w:val="24"/>
        <w:numPr>
          <w:ilvl w:val="0"/>
          <w:numId w:val="2"/>
        </w:numPr>
        <w:spacing w:line="360"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rPr>
        <w:t>编程实现物料信息RFID读取，可手动在触摸屏进行读写信息。</w:t>
      </w:r>
    </w:p>
    <w:p>
      <w:pPr>
        <w:pStyle w:val="24"/>
        <w:numPr>
          <w:ilvl w:val="0"/>
          <w:numId w:val="2"/>
        </w:numPr>
        <w:spacing w:line="360"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rPr>
        <w:t>编程实现物料材质、颜色等信息获取，可在触摸屏显示对应信息。</w:t>
      </w:r>
    </w:p>
    <w:p>
      <w:pPr>
        <w:pStyle w:val="24"/>
        <w:numPr>
          <w:ilvl w:val="0"/>
          <w:numId w:val="2"/>
        </w:numPr>
        <w:spacing w:line="360"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rPr>
        <w:t>编程实现扫码器数据读取，可在触摸屏显示对应信息。</w:t>
      </w:r>
    </w:p>
    <w:p>
      <w:pPr>
        <w:pStyle w:val="24"/>
        <w:spacing w:before="156" w:beforeLines="50"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w:t>
      </w:r>
      <w:r>
        <w:rPr>
          <w:rFonts w:hint="eastAsia" w:ascii="Times New Roman" w:hAnsi="Times New Roman" w:cs="Times New Roman"/>
          <w:b/>
          <w:bCs/>
          <w:sz w:val="24"/>
          <w:szCs w:val="24"/>
        </w:rPr>
        <w:t>5</w:t>
      </w:r>
      <w:r>
        <w:rPr>
          <w:rFonts w:ascii="Times New Roman" w:hAnsi="Times New Roman" w:cs="Times New Roman"/>
          <w:b/>
          <w:bCs/>
          <w:sz w:val="24"/>
          <w:szCs w:val="24"/>
        </w:rPr>
        <w:t>：</w:t>
      </w:r>
      <w:r>
        <w:rPr>
          <w:rFonts w:hint="eastAsia" w:ascii="Times New Roman" w:hAnsi="Times New Roman" w:cs="Times New Roman"/>
          <w:b/>
          <w:bCs/>
          <w:sz w:val="24"/>
          <w:szCs w:val="24"/>
        </w:rPr>
        <w:t>物料搬运模块调试</w:t>
      </w:r>
    </w:p>
    <w:p>
      <w:pPr>
        <w:spacing w:line="360" w:lineRule="auto"/>
        <w:ind w:firstLine="480" w:firstLineChars="200"/>
        <w:rPr>
          <w:sz w:val="24"/>
        </w:rPr>
      </w:pPr>
      <w:r>
        <w:rPr>
          <w:sz w:val="24"/>
        </w:rPr>
        <w:t>（1</w:t>
      </w:r>
      <w:r>
        <w:rPr>
          <w:rFonts w:hint="eastAsia"/>
          <w:sz w:val="24"/>
        </w:rPr>
        <w:t>）完成导轨伺服电机手动调试。在触摸屏中电机运行参数模块中，输入转盘电机的速度、加速度、减速度参数；当按下手动前进按钮时，正常向前运动；当按下手动后退按钮时，正常向后运动。</w:t>
      </w:r>
    </w:p>
    <w:p>
      <w:pPr>
        <w:spacing w:line="360" w:lineRule="auto"/>
        <w:ind w:firstLine="480" w:firstLineChars="200"/>
        <w:rPr>
          <w:sz w:val="24"/>
        </w:rPr>
      </w:pPr>
      <w:r>
        <w:rPr>
          <w:sz w:val="24"/>
        </w:rPr>
        <w:t>（2</w:t>
      </w:r>
      <w:r>
        <w:rPr>
          <w:rFonts w:hint="eastAsia"/>
          <w:sz w:val="24"/>
        </w:rPr>
        <w:t>）机械手手动调试。可控制机械手正常取料、放料。</w:t>
      </w:r>
    </w:p>
    <w:p>
      <w:pPr>
        <w:pStyle w:val="24"/>
        <w:spacing w:before="156" w:beforeLines="50" w:line="360" w:lineRule="auto"/>
        <w:outlineLvl w:val="2"/>
        <w:rPr>
          <w:rFonts w:hint="default" w:ascii="Times New Roman" w:hAnsi="Times New Roman" w:eastAsia="宋体" w:cs="Times New Roman"/>
          <w:b/>
          <w:bCs/>
          <w:sz w:val="24"/>
          <w:szCs w:val="24"/>
          <w:lang w:val="en-US" w:eastAsia="zh-CN"/>
        </w:rPr>
      </w:pPr>
      <w:r>
        <w:rPr>
          <w:rFonts w:ascii="Times New Roman" w:hAnsi="Times New Roman" w:cs="Times New Roman"/>
          <w:b/>
          <w:bCs/>
          <w:sz w:val="24"/>
          <w:szCs w:val="24"/>
        </w:rPr>
        <w:t>任务</w:t>
      </w:r>
      <w:r>
        <w:rPr>
          <w:rFonts w:hint="eastAsia" w:ascii="Times New Roman" w:hAnsi="Times New Roman" w:cs="Times New Roman"/>
          <w:b/>
          <w:bCs/>
          <w:sz w:val="24"/>
          <w:szCs w:val="24"/>
        </w:rPr>
        <w:t>6：系统联调</w:t>
      </w:r>
      <w:r>
        <w:rPr>
          <w:rFonts w:hint="eastAsia" w:ascii="Times New Roman" w:hAnsi="Times New Roman" w:cs="Times New Roman"/>
          <w:b/>
          <w:bCs/>
          <w:sz w:val="24"/>
          <w:szCs w:val="24"/>
          <w:lang w:val="en-US" w:eastAsia="zh-CN"/>
        </w:rPr>
        <w:t>及优化</w:t>
      </w:r>
    </w:p>
    <w:p>
      <w:pPr>
        <w:pStyle w:val="24"/>
        <w:spacing w:line="360"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rPr>
        <w:t>（1）完成无线Lora通信程序编写，实现远程控制三色灯状态功能程序。</w:t>
      </w:r>
    </w:p>
    <w:p>
      <w:pPr>
        <w:pStyle w:val="24"/>
        <w:spacing w:line="360"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rPr>
        <w:t>（2）完成初始化程序编写，要求系统联调下，按下“复位”按钮，实现电机回原点、气缸复位等初始化动作。</w:t>
      </w:r>
    </w:p>
    <w:p>
      <w:pPr>
        <w:pStyle w:val="24"/>
        <w:spacing w:line="360"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rPr>
        <w:t>（3）完成系统联调启动、停止等功能控制，要求按下“启动”按钮，三色灯亮绿灯，按下停止按钮，三色灯亮黄灯，触碰安全光栅，生产线暂停，三色灯以1s周期频率闪烁，离开安全光栅，生产线恢复正常。</w:t>
      </w:r>
    </w:p>
    <w:p>
      <w:pPr>
        <w:pStyle w:val="24"/>
        <w:spacing w:line="360"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rPr>
        <w:t>（4）系统联调</w:t>
      </w:r>
      <w:r>
        <w:rPr>
          <w:rFonts w:hint="eastAsia"/>
          <w:sz w:val="24"/>
        </w:rPr>
        <w:t>料块供料、料块在转盘上各工位检测、料芯装配、料块分拣、工艺信息</w:t>
      </w:r>
      <w:r>
        <w:rPr>
          <w:sz w:val="24"/>
        </w:rPr>
        <w:t>RFID</w:t>
      </w:r>
      <w:r>
        <w:rPr>
          <w:rFonts w:hint="eastAsia"/>
          <w:sz w:val="24"/>
        </w:rPr>
        <w:t>写入的工艺流程，实现工业网络智能控制与维护系统的全功能集成调试</w:t>
      </w:r>
      <w:r>
        <w:rPr>
          <w:rFonts w:hint="eastAsia" w:ascii="Times New Roman" w:hAnsi="Times New Roman" w:cs="Times New Roman"/>
          <w:sz w:val="24"/>
          <w:szCs w:val="24"/>
        </w:rPr>
        <w:t>。</w:t>
      </w:r>
    </w:p>
    <w:p>
      <w:pPr>
        <w:pStyle w:val="24"/>
        <w:spacing w:before="156" w:beforeLines="50" w:line="360" w:lineRule="auto"/>
        <w:outlineLvl w:val="2"/>
        <w:rPr>
          <w:rFonts w:ascii="Times New Roman" w:hAnsi="Times New Roman" w:cs="Times New Roman"/>
          <w:b/>
          <w:bCs/>
          <w:sz w:val="24"/>
          <w:szCs w:val="24"/>
        </w:rPr>
      </w:pPr>
      <w:r>
        <w:rPr>
          <w:rFonts w:ascii="Times New Roman" w:hAnsi="Times New Roman" w:cs="Times New Roman"/>
          <w:b/>
          <w:bCs/>
          <w:sz w:val="24"/>
          <w:szCs w:val="24"/>
        </w:rPr>
        <w:t>任务</w:t>
      </w:r>
      <w:r>
        <w:rPr>
          <w:rFonts w:hint="eastAsia" w:ascii="Times New Roman" w:hAnsi="Times New Roman" w:cs="Times New Roman"/>
          <w:b/>
          <w:bCs/>
          <w:sz w:val="24"/>
          <w:szCs w:val="24"/>
        </w:rPr>
        <w:t>7</w:t>
      </w:r>
      <w:r>
        <w:rPr>
          <w:rFonts w:ascii="Times New Roman" w:hAnsi="Times New Roman" w:cs="Times New Roman"/>
          <w:b/>
          <w:bCs/>
          <w:sz w:val="24"/>
          <w:szCs w:val="24"/>
        </w:rPr>
        <w:t>：</w:t>
      </w:r>
      <w:r>
        <w:rPr>
          <w:rFonts w:hint="eastAsia" w:ascii="Times New Roman" w:hAnsi="Times New Roman" w:cs="Times New Roman"/>
          <w:b/>
          <w:bCs/>
          <w:sz w:val="24"/>
          <w:szCs w:val="24"/>
        </w:rPr>
        <w:t>可视化系统调试</w:t>
      </w:r>
    </w:p>
    <w:p>
      <w:pPr>
        <w:pStyle w:val="24"/>
        <w:spacing w:line="360"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rPr>
        <w:t>（1）通过工业网关，采集控制系统的PLC数据，数据包含产品信息（材质、重量、RFID读取数值）。</w:t>
      </w:r>
    </w:p>
    <w:p>
      <w:pPr>
        <w:pStyle w:val="24"/>
        <w:spacing w:line="360"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rPr>
        <w:t>（2）通过工业网关，采集控制系统的现场环境数据（产线电压、电流、气压表数值信息）。</w:t>
      </w:r>
    </w:p>
    <w:p>
      <w:pPr>
        <w:spacing w:line="360" w:lineRule="auto"/>
        <w:ind w:firstLine="480" w:firstLineChars="200"/>
        <w:rPr>
          <w:rFonts w:hint="default" w:eastAsia="宋体"/>
          <w:sz w:val="24"/>
          <w:lang w:val="en-US" w:eastAsia="zh-CN"/>
        </w:rPr>
      </w:pPr>
      <w:r>
        <w:rPr>
          <w:rFonts w:hint="eastAsia"/>
          <w:sz w:val="24"/>
          <w:lang w:eastAsia="zh-CN"/>
        </w:rPr>
        <w:t>（</w:t>
      </w:r>
      <w:r>
        <w:rPr>
          <w:rFonts w:hint="eastAsia"/>
          <w:sz w:val="24"/>
          <w:lang w:val="en-US" w:eastAsia="zh-CN"/>
        </w:rPr>
        <w:t>3</w:t>
      </w:r>
      <w:r>
        <w:rPr>
          <w:rFonts w:hint="eastAsia"/>
          <w:sz w:val="24"/>
          <w:lang w:eastAsia="zh-CN"/>
        </w:rPr>
        <w:t>）</w:t>
      </w:r>
      <w:r>
        <w:rPr>
          <w:rFonts w:hint="eastAsia"/>
          <w:sz w:val="24"/>
          <w:lang w:val="en-US" w:eastAsia="zh-CN"/>
        </w:rPr>
        <w:t>完成MES系统的业务流程制定，生产订单下发等任务；</w:t>
      </w:r>
    </w:p>
    <w:p>
      <w:pPr>
        <w:spacing w:line="360" w:lineRule="auto"/>
        <w:ind w:firstLine="480" w:firstLineChars="200"/>
        <w:rPr>
          <w:sz w:val="24"/>
        </w:rPr>
      </w:pPr>
      <w:r>
        <w:rPr>
          <w:rFonts w:hint="eastAsia"/>
          <w:sz w:val="24"/>
        </w:rPr>
        <w:t>（</w:t>
      </w:r>
      <w:r>
        <w:rPr>
          <w:rFonts w:hint="eastAsia"/>
          <w:sz w:val="24"/>
          <w:lang w:val="en-US" w:eastAsia="zh-CN"/>
        </w:rPr>
        <w:t>4</w:t>
      </w:r>
      <w:r>
        <w:rPr>
          <w:rFonts w:hint="eastAsia"/>
          <w:sz w:val="24"/>
        </w:rPr>
        <w:t>）根据网关采集的数据，在</w:t>
      </w:r>
      <w:r>
        <w:rPr>
          <w:rFonts w:hint="eastAsia"/>
          <w:sz w:val="24"/>
          <w:lang w:val="en-US" w:eastAsia="zh-CN"/>
        </w:rPr>
        <w:t>MES</w:t>
      </w:r>
      <w:r>
        <w:rPr>
          <w:rFonts w:hint="eastAsia"/>
          <w:sz w:val="24"/>
        </w:rPr>
        <w:t>系统完成数据关联配置，在可视化大屏设计绘制界面，实现数据监控、合格率显示。</w:t>
      </w:r>
    </w:p>
    <w:p>
      <w:pPr>
        <w:pStyle w:val="24"/>
        <w:spacing w:before="156" w:beforeLines="50" w:after="156" w:afterLines="50" w:line="360" w:lineRule="auto"/>
        <w:ind w:firstLine="482" w:firstLineChars="200"/>
        <w:outlineLvl w:val="2"/>
        <w:rPr>
          <w:rFonts w:hint="default" w:ascii="Times New Roman" w:hAnsi="Times New Roman" w:eastAsia="宋体" w:cs="Times New Roman"/>
          <w:b/>
          <w:bCs/>
          <w:sz w:val="24"/>
          <w:szCs w:val="24"/>
          <w:lang w:val="en-US" w:eastAsia="zh-CN"/>
        </w:rPr>
      </w:pPr>
      <w:r>
        <w:rPr>
          <w:rFonts w:hint="eastAsia" w:ascii="Times New Roman" w:hAnsi="Times New Roman" w:cs="Times New Roman"/>
          <w:b/>
          <w:bCs/>
          <w:sz w:val="24"/>
          <w:szCs w:val="24"/>
          <w:lang w:eastAsia="zh-CN"/>
        </w:rPr>
        <w:t>任务</w:t>
      </w:r>
      <w:r>
        <w:rPr>
          <w:rFonts w:hint="eastAsia" w:ascii="Times New Roman" w:hAnsi="Times New Roman" w:cs="Times New Roman"/>
          <w:b/>
          <w:bCs/>
          <w:sz w:val="24"/>
          <w:szCs w:val="24"/>
        </w:rPr>
        <w:t>8</w:t>
      </w:r>
      <w:r>
        <w:rPr>
          <w:rFonts w:hint="eastAsia" w:ascii="Times New Roman" w:hAnsi="Times New Roman" w:cs="Times New Roman"/>
          <w:b/>
          <w:bCs/>
          <w:sz w:val="24"/>
          <w:szCs w:val="24"/>
          <w:lang w:eastAsia="zh-CN"/>
        </w:rPr>
        <w:t>：</w:t>
      </w:r>
      <w:r>
        <w:rPr>
          <w:rFonts w:ascii="Times New Roman" w:hAnsi="Times New Roman" w:cs="Times New Roman"/>
          <w:b/>
          <w:bCs/>
          <w:sz w:val="24"/>
          <w:szCs w:val="24"/>
        </w:rPr>
        <w:t xml:space="preserve"> </w:t>
      </w:r>
      <w:r>
        <w:rPr>
          <w:rFonts w:hint="eastAsia" w:ascii="Times New Roman" w:hAnsi="Times New Roman" w:cs="Times New Roman"/>
          <w:b/>
          <w:bCs/>
          <w:sz w:val="24"/>
          <w:szCs w:val="24"/>
          <w:lang w:val="en-US" w:eastAsia="zh-CN"/>
        </w:rPr>
        <w:t>工业网络智能控制系统云端智能运维管理</w:t>
      </w:r>
    </w:p>
    <w:p>
      <w:pPr>
        <w:pStyle w:val="2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使用提供的振动传感器，实现远程实时监测电机的振动数据。</w:t>
      </w:r>
    </w:p>
    <w:p>
      <w:pPr>
        <w:pStyle w:val="2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要求对电机进行实时在线监测，判断电机的各个部件是否有破损，并从振动曲线角度提供证据，识别设备是否正常，确保设备启动后，正常运行，并通过振动曲线提供证据。</w:t>
      </w:r>
    </w:p>
    <w:p>
      <w:pPr>
        <w:pStyle w:val="2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1、正确配置振动传感器，其中IP设置为192.168.0.11</w:t>
      </w:r>
      <w:r>
        <w:rPr>
          <w:rFonts w:hint="eastAsia" w:ascii="Times New Roman" w:hAnsi="Times New Roman" w:cs="Times New Roman"/>
          <w:kern w:val="2"/>
          <w:sz w:val="24"/>
          <w:szCs w:val="24"/>
          <w:lang w:val="en-US" w:eastAsia="zh-CN" w:bidi="ar-SA"/>
        </w:rPr>
        <w:t>4</w:t>
      </w:r>
      <w:r>
        <w:rPr>
          <w:rFonts w:hint="eastAsia" w:ascii="Times New Roman" w:hAnsi="Times New Roman" w:eastAsia="宋体" w:cs="Times New Roman"/>
          <w:kern w:val="2"/>
          <w:sz w:val="24"/>
          <w:szCs w:val="24"/>
          <w:lang w:val="en-US" w:eastAsia="zh-CN" w:bidi="ar-SA"/>
        </w:rPr>
        <w:t>，名称为ME150-001。</w:t>
      </w:r>
    </w:p>
    <w:p>
      <w:pPr>
        <w:pStyle w:val="2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2、正确配置设备诊断软件，确保振动传感器的数据能够正常上传，其中设备名称设置为t-00</w:t>
      </w:r>
      <w:r>
        <w:rPr>
          <w:rFonts w:hint="eastAsia" w:ascii="Times New Roman" w:hAnsi="Times New Roman" w:cs="Times New Roman"/>
          <w:kern w:val="2"/>
          <w:sz w:val="24"/>
          <w:szCs w:val="24"/>
          <w:lang w:val="en-US" w:eastAsia="zh-CN" w:bidi="ar-SA"/>
        </w:rPr>
        <w:t>3</w:t>
      </w:r>
      <w:r>
        <w:rPr>
          <w:rFonts w:hint="eastAsia" w:ascii="Times New Roman" w:hAnsi="Times New Roman" w:eastAsia="宋体" w:cs="Times New Roman"/>
          <w:kern w:val="2"/>
          <w:sz w:val="24"/>
          <w:szCs w:val="24"/>
          <w:lang w:val="en-US" w:eastAsia="zh-CN" w:bidi="ar-SA"/>
        </w:rPr>
        <w:t>，设备编号设置为t-00</w:t>
      </w:r>
      <w:r>
        <w:rPr>
          <w:rFonts w:hint="eastAsia" w:ascii="Times New Roman" w:hAnsi="Times New Roman" w:cs="Times New Roman"/>
          <w:kern w:val="2"/>
          <w:sz w:val="24"/>
          <w:szCs w:val="24"/>
          <w:lang w:val="en-US" w:eastAsia="zh-CN" w:bidi="ar-SA"/>
        </w:rPr>
        <w:t>3</w:t>
      </w:r>
    </w:p>
    <w:p>
      <w:pPr>
        <w:pStyle w:val="2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3、观察振动曲线，做好记录。</w:t>
      </w:r>
    </w:p>
    <w:p>
      <w:pPr>
        <w:pStyle w:val="24"/>
        <w:spacing w:before="156" w:beforeLines="50" w:line="360" w:lineRule="auto"/>
        <w:outlineLvl w:val="2"/>
        <w:rPr>
          <w:rFonts w:hint="eastAsia" w:ascii="Times New Roman" w:hAnsi="Times New Roman" w:cs="Times New Roman"/>
          <w:bCs/>
          <w:sz w:val="24"/>
          <w:szCs w:val="24"/>
        </w:rPr>
      </w:pPr>
      <w:r>
        <w:rPr>
          <w:rFonts w:hint="eastAsia" w:ascii="Times New Roman" w:hAnsi="Times New Roman" w:cs="Times New Roman"/>
          <w:b/>
          <w:bCs/>
          <w:sz w:val="24"/>
          <w:szCs w:val="24"/>
        </w:rPr>
        <w:t>任务9：撰写《竞赛总结》。</w:t>
      </w:r>
      <w:r>
        <w:rPr>
          <w:rFonts w:hint="eastAsia" w:ascii="Times New Roman" w:hAnsi="Times New Roman" w:cs="Times New Roman"/>
          <w:bCs/>
          <w:sz w:val="24"/>
          <w:szCs w:val="24"/>
        </w:rPr>
        <w:t>保存到“D:\第二赛程\赛位号”。</w:t>
      </w:r>
    </w:p>
    <w:p>
      <w:pPr>
        <w:pStyle w:val="24"/>
        <w:spacing w:before="156" w:beforeLines="50" w:line="360" w:lineRule="auto"/>
        <w:outlineLvl w:val="2"/>
        <w:rPr>
          <w:b/>
          <w:sz w:val="30"/>
          <w:szCs w:val="30"/>
        </w:rPr>
      </w:pPr>
      <w:r>
        <w:rPr>
          <w:rFonts w:hint="eastAsia" w:asciiTheme="minorEastAsia" w:hAnsiTheme="minorEastAsia"/>
          <w:b/>
          <w:sz w:val="30"/>
          <w:szCs w:val="30"/>
        </w:rPr>
        <w:t>●</w:t>
      </w:r>
      <w:r>
        <w:rPr>
          <w:rFonts w:hint="eastAsia"/>
          <w:b/>
          <w:sz w:val="30"/>
          <w:szCs w:val="30"/>
        </w:rPr>
        <w:t>贯穿整个赛项过程考核点：职业素养</w:t>
      </w:r>
    </w:p>
    <w:p>
      <w:pPr>
        <w:spacing w:line="360" w:lineRule="auto"/>
        <w:ind w:firstLine="480" w:firstLineChars="200"/>
        <w:rPr>
          <w:rFonts w:asciiTheme="minorEastAsia" w:hAnsiTheme="minorEastAsia"/>
          <w:sz w:val="24"/>
        </w:rPr>
      </w:pPr>
      <w:r>
        <w:rPr>
          <w:rFonts w:hint="eastAsia" w:asciiTheme="minorEastAsia" w:hAnsiTheme="minorEastAsia"/>
          <w:sz w:val="24"/>
        </w:rPr>
        <w:t>考查选手操作过程中的团队协作与质量控制意识、工程思维与工匠精神等，具体包括安全规范；设施设备、工具仪器使用情况；卫生清洁情况；穿戴是否规范；工作纪律，文明礼貌等。</w:t>
      </w:r>
    </w:p>
    <w:p>
      <w:pPr>
        <w:spacing w:line="360" w:lineRule="auto"/>
        <w:ind w:firstLine="480" w:firstLineChars="200"/>
        <w:rPr>
          <w:rFonts w:asciiTheme="minorEastAsia" w:hAnsiTheme="minorEastAsia"/>
          <w:sz w:val="24"/>
        </w:rPr>
      </w:pPr>
      <w:r>
        <w:rPr>
          <w:rFonts w:hint="eastAsia" w:asciiTheme="minorEastAsia" w:hAnsiTheme="minorEastAsia"/>
          <w:sz w:val="24"/>
        </w:rPr>
        <w:t>在任务施工过程中能正确选择设备，安全可靠地使用工具，设备安装稳固、部件均匀排布、行列对齐、间距相等、整齐美观；布线合理、所有线都装入线槽。施工完成后需对地板卫生进行打扫、对桌面进行整理、对工具设备进行还原等等。由现场裁判进行过程记录、现场评分、选手确认。</w:t>
      </w:r>
    </w:p>
    <w:p>
      <w:pPr>
        <w:pStyle w:val="24"/>
        <w:spacing w:line="360" w:lineRule="auto"/>
        <w:rPr>
          <w:rFonts w:ascii="Times New Roman" w:hAnsi="Times New Roman" w:cs="Times New Roman"/>
          <w:sz w:val="24"/>
          <w:szCs w:val="24"/>
        </w:rPr>
      </w:pPr>
      <w:r>
        <w:drawing>
          <wp:anchor distT="0" distB="0" distL="114300" distR="114300" simplePos="0" relativeHeight="251659264" behindDoc="0" locked="0" layoutInCell="1" allowOverlap="1">
            <wp:simplePos x="0" y="0"/>
            <wp:positionH relativeFrom="column">
              <wp:posOffset>0</wp:posOffset>
            </wp:positionH>
            <wp:positionV relativeFrom="paragraph">
              <wp:posOffset>6635115</wp:posOffset>
            </wp:positionV>
            <wp:extent cx="5271135" cy="981075"/>
            <wp:effectExtent l="0" t="0" r="1905" b="9525"/>
            <wp:wrapNone/>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7">
                      <a:clrChange>
                        <a:clrFrom>
                          <a:srgbClr val="FCFCFC">
                            <a:alpha val="100000"/>
                          </a:srgbClr>
                        </a:clrFrom>
                        <a:clrTo>
                          <a:srgbClr val="FCFCFC">
                            <a:alpha val="100000"/>
                            <a:alpha val="0"/>
                          </a:srgbClr>
                        </a:clrTo>
                      </a:clrChange>
                    </a:blip>
                    <a:stretch>
                      <a:fillRect/>
                    </a:stretch>
                  </pic:blipFill>
                  <pic:spPr>
                    <a:xfrm>
                      <a:off x="0" y="0"/>
                      <a:ext cx="5271135" cy="981075"/>
                    </a:xfrm>
                    <a:prstGeom prst="rect">
                      <a:avLst/>
                    </a:prstGeom>
                    <a:noFill/>
                    <a:ln>
                      <a:noFill/>
                    </a:ln>
                  </pic:spPr>
                </pic:pic>
              </a:graphicData>
            </a:graphic>
          </wp:anchor>
        </w:drawing>
      </w:r>
    </w:p>
    <w:sectPr>
      <w:footerReference r:id="rId5" w:type="default"/>
      <w:pgSz w:w="11906" w:h="16838"/>
      <w:pgMar w:top="1440" w:right="1800" w:bottom="1440" w:left="1800" w:header="850"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9</w:t>
    </w:r>
    <w:r>
      <w:rPr>
        <w:b/>
        <w:bCs/>
        <w:sz w:val="24"/>
        <w:szCs w:val="24"/>
      </w:rPr>
      <w:fldChar w:fldCharType="end"/>
    </w:r>
  </w:p>
  <w:p>
    <w:pPr>
      <w:pStyle w:val="11"/>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70D394"/>
    <w:multiLevelType w:val="singleLevel"/>
    <w:tmpl w:val="1B70D394"/>
    <w:lvl w:ilvl="0" w:tentative="0">
      <w:start w:val="1"/>
      <w:numFmt w:val="chineseCounting"/>
      <w:pStyle w:val="22"/>
      <w:suff w:val="nothing"/>
      <w:lvlText w:val="%1、"/>
      <w:lvlJc w:val="left"/>
      <w:rPr>
        <w:rFonts w:hint="eastAsia"/>
      </w:rPr>
    </w:lvl>
  </w:abstractNum>
  <w:abstractNum w:abstractNumId="1">
    <w:nsid w:val="30964CEB"/>
    <w:multiLevelType w:val="singleLevel"/>
    <w:tmpl w:val="30964CEB"/>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2ZmQzZTI4YzFjMjNkNjAwNzk1NmQyMzczMmFlZmUifQ=="/>
  </w:docVars>
  <w:rsids>
    <w:rsidRoot w:val="00AC7CFA"/>
    <w:rsid w:val="00005896"/>
    <w:rsid w:val="0000717E"/>
    <w:rsid w:val="00024529"/>
    <w:rsid w:val="00025816"/>
    <w:rsid w:val="00030058"/>
    <w:rsid w:val="00030FE5"/>
    <w:rsid w:val="00031987"/>
    <w:rsid w:val="00033EA1"/>
    <w:rsid w:val="000348D2"/>
    <w:rsid w:val="000440A2"/>
    <w:rsid w:val="000440BA"/>
    <w:rsid w:val="00057194"/>
    <w:rsid w:val="0008738E"/>
    <w:rsid w:val="000A1E6C"/>
    <w:rsid w:val="000A2919"/>
    <w:rsid w:val="000A4453"/>
    <w:rsid w:val="000B5203"/>
    <w:rsid w:val="000B6BDA"/>
    <w:rsid w:val="000C520F"/>
    <w:rsid w:val="000C6B7C"/>
    <w:rsid w:val="000D1F0D"/>
    <w:rsid w:val="000D49EC"/>
    <w:rsid w:val="000D61A9"/>
    <w:rsid w:val="000E569B"/>
    <w:rsid w:val="000F1E40"/>
    <w:rsid w:val="000F32B0"/>
    <w:rsid w:val="000F627C"/>
    <w:rsid w:val="00101E24"/>
    <w:rsid w:val="00101E39"/>
    <w:rsid w:val="00106E7B"/>
    <w:rsid w:val="0011201C"/>
    <w:rsid w:val="0011281D"/>
    <w:rsid w:val="00112B68"/>
    <w:rsid w:val="00113D4B"/>
    <w:rsid w:val="001149E9"/>
    <w:rsid w:val="0012170C"/>
    <w:rsid w:val="00133FB5"/>
    <w:rsid w:val="0013448A"/>
    <w:rsid w:val="001655C2"/>
    <w:rsid w:val="00171DA0"/>
    <w:rsid w:val="001857BF"/>
    <w:rsid w:val="00190356"/>
    <w:rsid w:val="00195F01"/>
    <w:rsid w:val="001B0110"/>
    <w:rsid w:val="001B67DB"/>
    <w:rsid w:val="001C182B"/>
    <w:rsid w:val="001C25D3"/>
    <w:rsid w:val="001C78CE"/>
    <w:rsid w:val="001D1AC5"/>
    <w:rsid w:val="001D2A07"/>
    <w:rsid w:val="001E1E1C"/>
    <w:rsid w:val="001E2B6E"/>
    <w:rsid w:val="001E6ABD"/>
    <w:rsid w:val="001F0470"/>
    <w:rsid w:val="002069BC"/>
    <w:rsid w:val="0021048B"/>
    <w:rsid w:val="002167C7"/>
    <w:rsid w:val="002275D4"/>
    <w:rsid w:val="00245710"/>
    <w:rsid w:val="002506C6"/>
    <w:rsid w:val="0026098B"/>
    <w:rsid w:val="002648EF"/>
    <w:rsid w:val="00267374"/>
    <w:rsid w:val="00271CA4"/>
    <w:rsid w:val="00284EE0"/>
    <w:rsid w:val="002A5712"/>
    <w:rsid w:val="002B4739"/>
    <w:rsid w:val="002B6263"/>
    <w:rsid w:val="002C4704"/>
    <w:rsid w:val="002C4C65"/>
    <w:rsid w:val="002D3910"/>
    <w:rsid w:val="002D60DE"/>
    <w:rsid w:val="002D7474"/>
    <w:rsid w:val="002E74C9"/>
    <w:rsid w:val="003009FF"/>
    <w:rsid w:val="00310017"/>
    <w:rsid w:val="003153FA"/>
    <w:rsid w:val="00326E66"/>
    <w:rsid w:val="00335BF7"/>
    <w:rsid w:val="00336469"/>
    <w:rsid w:val="003368D8"/>
    <w:rsid w:val="00337E7B"/>
    <w:rsid w:val="00341BA0"/>
    <w:rsid w:val="00343D7C"/>
    <w:rsid w:val="00344C13"/>
    <w:rsid w:val="0035120F"/>
    <w:rsid w:val="00352332"/>
    <w:rsid w:val="00360677"/>
    <w:rsid w:val="003628FE"/>
    <w:rsid w:val="00375B97"/>
    <w:rsid w:val="00383AED"/>
    <w:rsid w:val="00385C57"/>
    <w:rsid w:val="003D34C8"/>
    <w:rsid w:val="003D3F5A"/>
    <w:rsid w:val="003D4BF3"/>
    <w:rsid w:val="003D5415"/>
    <w:rsid w:val="003E1609"/>
    <w:rsid w:val="003F16D6"/>
    <w:rsid w:val="00415DBB"/>
    <w:rsid w:val="00435874"/>
    <w:rsid w:val="004460D1"/>
    <w:rsid w:val="00465730"/>
    <w:rsid w:val="004738CC"/>
    <w:rsid w:val="00486AEB"/>
    <w:rsid w:val="004914E8"/>
    <w:rsid w:val="00493CF9"/>
    <w:rsid w:val="004A29FF"/>
    <w:rsid w:val="004B40A8"/>
    <w:rsid w:val="004C2772"/>
    <w:rsid w:val="004C75CD"/>
    <w:rsid w:val="004D516E"/>
    <w:rsid w:val="004D7B84"/>
    <w:rsid w:val="004F6D5B"/>
    <w:rsid w:val="00501019"/>
    <w:rsid w:val="00511F4D"/>
    <w:rsid w:val="00517DFB"/>
    <w:rsid w:val="0052511C"/>
    <w:rsid w:val="00545157"/>
    <w:rsid w:val="00552BB6"/>
    <w:rsid w:val="00557235"/>
    <w:rsid w:val="0056549D"/>
    <w:rsid w:val="005663B1"/>
    <w:rsid w:val="00572098"/>
    <w:rsid w:val="005B7F40"/>
    <w:rsid w:val="005C264D"/>
    <w:rsid w:val="005C3BC4"/>
    <w:rsid w:val="005C5741"/>
    <w:rsid w:val="005D4A3E"/>
    <w:rsid w:val="005D4FBD"/>
    <w:rsid w:val="005E3461"/>
    <w:rsid w:val="005F0795"/>
    <w:rsid w:val="005F3A2D"/>
    <w:rsid w:val="005F7DEF"/>
    <w:rsid w:val="006202F0"/>
    <w:rsid w:val="00622BB7"/>
    <w:rsid w:val="00624C45"/>
    <w:rsid w:val="00626D23"/>
    <w:rsid w:val="00653607"/>
    <w:rsid w:val="0066312E"/>
    <w:rsid w:val="00674184"/>
    <w:rsid w:val="00684EB0"/>
    <w:rsid w:val="00687858"/>
    <w:rsid w:val="0069461D"/>
    <w:rsid w:val="006A5682"/>
    <w:rsid w:val="006A6490"/>
    <w:rsid w:val="006B3E6A"/>
    <w:rsid w:val="006C5C3F"/>
    <w:rsid w:val="006E098F"/>
    <w:rsid w:val="006E0A41"/>
    <w:rsid w:val="006F10D3"/>
    <w:rsid w:val="006F3EA6"/>
    <w:rsid w:val="00707179"/>
    <w:rsid w:val="0073760F"/>
    <w:rsid w:val="00737914"/>
    <w:rsid w:val="00742ED6"/>
    <w:rsid w:val="00791B79"/>
    <w:rsid w:val="007930A6"/>
    <w:rsid w:val="007A2F54"/>
    <w:rsid w:val="007A3B81"/>
    <w:rsid w:val="007B5E07"/>
    <w:rsid w:val="007D1757"/>
    <w:rsid w:val="007D5410"/>
    <w:rsid w:val="007D6356"/>
    <w:rsid w:val="007F2223"/>
    <w:rsid w:val="00802491"/>
    <w:rsid w:val="008316BE"/>
    <w:rsid w:val="00832D91"/>
    <w:rsid w:val="0083657E"/>
    <w:rsid w:val="00840250"/>
    <w:rsid w:val="008653E1"/>
    <w:rsid w:val="008740DF"/>
    <w:rsid w:val="008801B7"/>
    <w:rsid w:val="008940B4"/>
    <w:rsid w:val="00895145"/>
    <w:rsid w:val="0089609D"/>
    <w:rsid w:val="008A51F5"/>
    <w:rsid w:val="008A77D4"/>
    <w:rsid w:val="008B564F"/>
    <w:rsid w:val="008C1159"/>
    <w:rsid w:val="008C14F7"/>
    <w:rsid w:val="008D6408"/>
    <w:rsid w:val="008E6B88"/>
    <w:rsid w:val="00905338"/>
    <w:rsid w:val="009065C9"/>
    <w:rsid w:val="009245E7"/>
    <w:rsid w:val="00927C9C"/>
    <w:rsid w:val="009368F7"/>
    <w:rsid w:val="00940077"/>
    <w:rsid w:val="009431DE"/>
    <w:rsid w:val="009439B4"/>
    <w:rsid w:val="00983E7B"/>
    <w:rsid w:val="00993DE2"/>
    <w:rsid w:val="009B486A"/>
    <w:rsid w:val="009C3EF0"/>
    <w:rsid w:val="009C7E22"/>
    <w:rsid w:val="009D1A6D"/>
    <w:rsid w:val="009E24DD"/>
    <w:rsid w:val="009F01F4"/>
    <w:rsid w:val="009F02A5"/>
    <w:rsid w:val="00A1434E"/>
    <w:rsid w:val="00A20D8C"/>
    <w:rsid w:val="00A2142B"/>
    <w:rsid w:val="00A47BFD"/>
    <w:rsid w:val="00A47FE1"/>
    <w:rsid w:val="00A85D8B"/>
    <w:rsid w:val="00A901C1"/>
    <w:rsid w:val="00AA04F9"/>
    <w:rsid w:val="00AA1C13"/>
    <w:rsid w:val="00AA2D7B"/>
    <w:rsid w:val="00AA4626"/>
    <w:rsid w:val="00AC6DA8"/>
    <w:rsid w:val="00AC7CFA"/>
    <w:rsid w:val="00AD79B3"/>
    <w:rsid w:val="00AE588B"/>
    <w:rsid w:val="00AF152A"/>
    <w:rsid w:val="00AF43BA"/>
    <w:rsid w:val="00AF5787"/>
    <w:rsid w:val="00B14382"/>
    <w:rsid w:val="00B20C06"/>
    <w:rsid w:val="00B21669"/>
    <w:rsid w:val="00B23C97"/>
    <w:rsid w:val="00B25A9D"/>
    <w:rsid w:val="00B27758"/>
    <w:rsid w:val="00B433A5"/>
    <w:rsid w:val="00B46FDF"/>
    <w:rsid w:val="00B47EB1"/>
    <w:rsid w:val="00B500D6"/>
    <w:rsid w:val="00B56828"/>
    <w:rsid w:val="00B60412"/>
    <w:rsid w:val="00B60BA1"/>
    <w:rsid w:val="00B64DE3"/>
    <w:rsid w:val="00B75490"/>
    <w:rsid w:val="00B844C7"/>
    <w:rsid w:val="00B908EB"/>
    <w:rsid w:val="00BA148A"/>
    <w:rsid w:val="00BA30D7"/>
    <w:rsid w:val="00BC5A4A"/>
    <w:rsid w:val="00BD459E"/>
    <w:rsid w:val="00BE2DC7"/>
    <w:rsid w:val="00C05036"/>
    <w:rsid w:val="00C052E6"/>
    <w:rsid w:val="00C05EDB"/>
    <w:rsid w:val="00C10444"/>
    <w:rsid w:val="00C131AA"/>
    <w:rsid w:val="00C26742"/>
    <w:rsid w:val="00C522CE"/>
    <w:rsid w:val="00C7036E"/>
    <w:rsid w:val="00C74E19"/>
    <w:rsid w:val="00C87A6F"/>
    <w:rsid w:val="00C940DF"/>
    <w:rsid w:val="00CA142D"/>
    <w:rsid w:val="00CB4830"/>
    <w:rsid w:val="00CC0D11"/>
    <w:rsid w:val="00CC37FD"/>
    <w:rsid w:val="00CD67E1"/>
    <w:rsid w:val="00CE60B9"/>
    <w:rsid w:val="00CF6D81"/>
    <w:rsid w:val="00D0682D"/>
    <w:rsid w:val="00D11DE6"/>
    <w:rsid w:val="00D3185E"/>
    <w:rsid w:val="00D34EAC"/>
    <w:rsid w:val="00D4195E"/>
    <w:rsid w:val="00D54A77"/>
    <w:rsid w:val="00D5718C"/>
    <w:rsid w:val="00D604C3"/>
    <w:rsid w:val="00D614F3"/>
    <w:rsid w:val="00D62E1C"/>
    <w:rsid w:val="00D63BF1"/>
    <w:rsid w:val="00D64192"/>
    <w:rsid w:val="00D65174"/>
    <w:rsid w:val="00D772D4"/>
    <w:rsid w:val="00DA1DEA"/>
    <w:rsid w:val="00DA4B21"/>
    <w:rsid w:val="00DB4BE9"/>
    <w:rsid w:val="00DC3DED"/>
    <w:rsid w:val="00DD1BB1"/>
    <w:rsid w:val="00DE26AE"/>
    <w:rsid w:val="00E12B77"/>
    <w:rsid w:val="00E2571D"/>
    <w:rsid w:val="00E43CF4"/>
    <w:rsid w:val="00E45FAC"/>
    <w:rsid w:val="00E535B6"/>
    <w:rsid w:val="00E7177C"/>
    <w:rsid w:val="00E74B83"/>
    <w:rsid w:val="00E83255"/>
    <w:rsid w:val="00E8503A"/>
    <w:rsid w:val="00E871EE"/>
    <w:rsid w:val="00E947F6"/>
    <w:rsid w:val="00E94C4B"/>
    <w:rsid w:val="00EA676F"/>
    <w:rsid w:val="00EB30BB"/>
    <w:rsid w:val="00EB75DA"/>
    <w:rsid w:val="00EC0EC5"/>
    <w:rsid w:val="00EC34F5"/>
    <w:rsid w:val="00ED0378"/>
    <w:rsid w:val="00ED7601"/>
    <w:rsid w:val="00EF5DD9"/>
    <w:rsid w:val="00F04015"/>
    <w:rsid w:val="00F20A67"/>
    <w:rsid w:val="00F23A34"/>
    <w:rsid w:val="00F26817"/>
    <w:rsid w:val="00F4161F"/>
    <w:rsid w:val="00F43453"/>
    <w:rsid w:val="00F54297"/>
    <w:rsid w:val="00F646B2"/>
    <w:rsid w:val="00F71F2D"/>
    <w:rsid w:val="00F7397E"/>
    <w:rsid w:val="00F91675"/>
    <w:rsid w:val="00FA5AAD"/>
    <w:rsid w:val="00FD0721"/>
    <w:rsid w:val="00FD1660"/>
    <w:rsid w:val="00FE4013"/>
    <w:rsid w:val="00FF00A7"/>
    <w:rsid w:val="00FF0CE0"/>
    <w:rsid w:val="00FF1A22"/>
    <w:rsid w:val="011A32B3"/>
    <w:rsid w:val="016C2EE5"/>
    <w:rsid w:val="0288015B"/>
    <w:rsid w:val="02894D64"/>
    <w:rsid w:val="04696F66"/>
    <w:rsid w:val="04AC3648"/>
    <w:rsid w:val="058D208E"/>
    <w:rsid w:val="06130CC8"/>
    <w:rsid w:val="0631591A"/>
    <w:rsid w:val="07B60567"/>
    <w:rsid w:val="081A213A"/>
    <w:rsid w:val="08A20CB8"/>
    <w:rsid w:val="08AF0E08"/>
    <w:rsid w:val="09586ED2"/>
    <w:rsid w:val="095D009C"/>
    <w:rsid w:val="0AF61A7E"/>
    <w:rsid w:val="0B067795"/>
    <w:rsid w:val="0CB07374"/>
    <w:rsid w:val="0D576DB4"/>
    <w:rsid w:val="0E406140"/>
    <w:rsid w:val="102F444F"/>
    <w:rsid w:val="108667CB"/>
    <w:rsid w:val="11B51322"/>
    <w:rsid w:val="11DA27F1"/>
    <w:rsid w:val="11ED7BBC"/>
    <w:rsid w:val="12154C55"/>
    <w:rsid w:val="12A66D66"/>
    <w:rsid w:val="12B373B4"/>
    <w:rsid w:val="12E52B18"/>
    <w:rsid w:val="134C512D"/>
    <w:rsid w:val="141E3C3E"/>
    <w:rsid w:val="14A227E0"/>
    <w:rsid w:val="14C2234F"/>
    <w:rsid w:val="14FF27EF"/>
    <w:rsid w:val="15A8267B"/>
    <w:rsid w:val="15E617F9"/>
    <w:rsid w:val="165007B1"/>
    <w:rsid w:val="16676164"/>
    <w:rsid w:val="17F572A9"/>
    <w:rsid w:val="182D1EF3"/>
    <w:rsid w:val="18BC10DA"/>
    <w:rsid w:val="193C6E23"/>
    <w:rsid w:val="1A194B1C"/>
    <w:rsid w:val="1A56065F"/>
    <w:rsid w:val="1ADB07EE"/>
    <w:rsid w:val="1BC66B17"/>
    <w:rsid w:val="1C170DF1"/>
    <w:rsid w:val="1C77464F"/>
    <w:rsid w:val="1CC35302"/>
    <w:rsid w:val="1CCE3A88"/>
    <w:rsid w:val="1E824F77"/>
    <w:rsid w:val="20107B7C"/>
    <w:rsid w:val="217F4B34"/>
    <w:rsid w:val="22470A3A"/>
    <w:rsid w:val="227F72B8"/>
    <w:rsid w:val="22ED6886"/>
    <w:rsid w:val="237E50D6"/>
    <w:rsid w:val="24EA4377"/>
    <w:rsid w:val="275924AB"/>
    <w:rsid w:val="279A15F0"/>
    <w:rsid w:val="28D627BE"/>
    <w:rsid w:val="29B421EE"/>
    <w:rsid w:val="29E1724B"/>
    <w:rsid w:val="2A536299"/>
    <w:rsid w:val="2B6E5A55"/>
    <w:rsid w:val="2B7F5629"/>
    <w:rsid w:val="2B914C2B"/>
    <w:rsid w:val="2CB847EB"/>
    <w:rsid w:val="2D196954"/>
    <w:rsid w:val="2D4D4CB8"/>
    <w:rsid w:val="2E043769"/>
    <w:rsid w:val="2E622F04"/>
    <w:rsid w:val="2EE876E5"/>
    <w:rsid w:val="2F0E64B8"/>
    <w:rsid w:val="2F83203C"/>
    <w:rsid w:val="2FE82C0A"/>
    <w:rsid w:val="317C4DAA"/>
    <w:rsid w:val="31B777C4"/>
    <w:rsid w:val="31DA2719"/>
    <w:rsid w:val="3224433E"/>
    <w:rsid w:val="34A62A22"/>
    <w:rsid w:val="35361917"/>
    <w:rsid w:val="355A23AB"/>
    <w:rsid w:val="35804D88"/>
    <w:rsid w:val="35E841A8"/>
    <w:rsid w:val="36312344"/>
    <w:rsid w:val="36CA546D"/>
    <w:rsid w:val="37003852"/>
    <w:rsid w:val="372C5C73"/>
    <w:rsid w:val="3761474D"/>
    <w:rsid w:val="37C71C45"/>
    <w:rsid w:val="37D248F4"/>
    <w:rsid w:val="38311645"/>
    <w:rsid w:val="391E2226"/>
    <w:rsid w:val="39711B0C"/>
    <w:rsid w:val="398A3CBF"/>
    <w:rsid w:val="39EA2B7D"/>
    <w:rsid w:val="3A13432A"/>
    <w:rsid w:val="3A6576B7"/>
    <w:rsid w:val="3C6040AD"/>
    <w:rsid w:val="3D3D1C1C"/>
    <w:rsid w:val="3D463012"/>
    <w:rsid w:val="3DB74A35"/>
    <w:rsid w:val="3DCF5B88"/>
    <w:rsid w:val="3E52227C"/>
    <w:rsid w:val="3E690EAA"/>
    <w:rsid w:val="3F8C6FEB"/>
    <w:rsid w:val="4005486A"/>
    <w:rsid w:val="40D459EE"/>
    <w:rsid w:val="423F0369"/>
    <w:rsid w:val="424D1198"/>
    <w:rsid w:val="42586757"/>
    <w:rsid w:val="42845F35"/>
    <w:rsid w:val="434758F9"/>
    <w:rsid w:val="43617C8C"/>
    <w:rsid w:val="43847F16"/>
    <w:rsid w:val="44310ED8"/>
    <w:rsid w:val="444F535B"/>
    <w:rsid w:val="447D2000"/>
    <w:rsid w:val="45A533E7"/>
    <w:rsid w:val="45F76383"/>
    <w:rsid w:val="466530EC"/>
    <w:rsid w:val="4686682E"/>
    <w:rsid w:val="471548BC"/>
    <w:rsid w:val="471A2B38"/>
    <w:rsid w:val="4778689B"/>
    <w:rsid w:val="49627B32"/>
    <w:rsid w:val="4B891387"/>
    <w:rsid w:val="4B941C1D"/>
    <w:rsid w:val="4CC36B68"/>
    <w:rsid w:val="4D6239AA"/>
    <w:rsid w:val="4E120638"/>
    <w:rsid w:val="4FD72D63"/>
    <w:rsid w:val="4FDC74D8"/>
    <w:rsid w:val="50D636CB"/>
    <w:rsid w:val="52526E88"/>
    <w:rsid w:val="526658C0"/>
    <w:rsid w:val="532958DF"/>
    <w:rsid w:val="53D2456D"/>
    <w:rsid w:val="55A0038E"/>
    <w:rsid w:val="56642F88"/>
    <w:rsid w:val="574D4A2B"/>
    <w:rsid w:val="58C744AA"/>
    <w:rsid w:val="59E1060B"/>
    <w:rsid w:val="59E8313A"/>
    <w:rsid w:val="5B264E92"/>
    <w:rsid w:val="5B490A77"/>
    <w:rsid w:val="5B7F702A"/>
    <w:rsid w:val="5BD1076E"/>
    <w:rsid w:val="5C124EDB"/>
    <w:rsid w:val="5CBC1452"/>
    <w:rsid w:val="5DA2176E"/>
    <w:rsid w:val="5DE773B8"/>
    <w:rsid w:val="5FA32708"/>
    <w:rsid w:val="606E56D7"/>
    <w:rsid w:val="609453BF"/>
    <w:rsid w:val="60A40666"/>
    <w:rsid w:val="612E6FC6"/>
    <w:rsid w:val="613B1FBD"/>
    <w:rsid w:val="618F02E6"/>
    <w:rsid w:val="62EA09AF"/>
    <w:rsid w:val="62EF6D04"/>
    <w:rsid w:val="62FD3C30"/>
    <w:rsid w:val="637D0BBD"/>
    <w:rsid w:val="652416DC"/>
    <w:rsid w:val="65D64B0D"/>
    <w:rsid w:val="65D95294"/>
    <w:rsid w:val="664F7993"/>
    <w:rsid w:val="67670A82"/>
    <w:rsid w:val="6877724E"/>
    <w:rsid w:val="688F0FF6"/>
    <w:rsid w:val="68D832D0"/>
    <w:rsid w:val="68F31016"/>
    <w:rsid w:val="69684E9C"/>
    <w:rsid w:val="699A3799"/>
    <w:rsid w:val="6B4615AB"/>
    <w:rsid w:val="6BF01042"/>
    <w:rsid w:val="6D367952"/>
    <w:rsid w:val="6D8008FA"/>
    <w:rsid w:val="6DCB3DD4"/>
    <w:rsid w:val="6DEB79BF"/>
    <w:rsid w:val="6E1B2B21"/>
    <w:rsid w:val="6E75789B"/>
    <w:rsid w:val="6EAC06F8"/>
    <w:rsid w:val="6F05494E"/>
    <w:rsid w:val="6F3C7832"/>
    <w:rsid w:val="70C96594"/>
    <w:rsid w:val="70DE473C"/>
    <w:rsid w:val="7117114A"/>
    <w:rsid w:val="71CD20B4"/>
    <w:rsid w:val="71FA251E"/>
    <w:rsid w:val="72F429FD"/>
    <w:rsid w:val="73834381"/>
    <w:rsid w:val="752A43F5"/>
    <w:rsid w:val="754E2034"/>
    <w:rsid w:val="76737D18"/>
    <w:rsid w:val="76C63473"/>
    <w:rsid w:val="7808638D"/>
    <w:rsid w:val="787E5372"/>
    <w:rsid w:val="79792B36"/>
    <w:rsid w:val="79DE3988"/>
    <w:rsid w:val="79FF6C88"/>
    <w:rsid w:val="7A471DB9"/>
    <w:rsid w:val="7A570794"/>
    <w:rsid w:val="7A5800B6"/>
    <w:rsid w:val="7A8871DD"/>
    <w:rsid w:val="7AA749B6"/>
    <w:rsid w:val="7AB57285"/>
    <w:rsid w:val="7B6E5CCE"/>
    <w:rsid w:val="7C9F0A3C"/>
    <w:rsid w:val="7CF25244"/>
    <w:rsid w:val="7D82077D"/>
    <w:rsid w:val="7DC96C20"/>
    <w:rsid w:val="7F876E8B"/>
    <w:rsid w:val="7FC367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nhideWhenUsed="0"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35"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3"/>
    <w:link w:val="18"/>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5">
    <w:name w:val="heading 3"/>
    <w:basedOn w:val="1"/>
    <w:next w:val="1"/>
    <w:qFormat/>
    <w:uiPriority w:val="0"/>
    <w:pPr>
      <w:keepNext/>
      <w:keepLines/>
      <w:spacing w:before="260" w:after="260" w:line="413" w:lineRule="auto"/>
      <w:outlineLvl w:val="2"/>
    </w:pPr>
    <w:rPr>
      <w:b/>
      <w:sz w:val="30"/>
    </w:rPr>
  </w:style>
  <w:style w:type="paragraph" w:styleId="6">
    <w:name w:val="heading 4"/>
    <w:basedOn w:val="1"/>
    <w:next w:val="1"/>
    <w:qFormat/>
    <w:uiPriority w:val="0"/>
    <w:pPr>
      <w:keepNext/>
      <w:keepLines/>
      <w:spacing w:before="280" w:after="290" w:line="372" w:lineRule="auto"/>
      <w:outlineLvl w:val="3"/>
    </w:pPr>
    <w:rPr>
      <w:rFonts w:ascii="Arial" w:hAnsi="Arial" w:eastAsia="黑体"/>
      <w:b/>
      <w:sz w:val="28"/>
    </w:rPr>
  </w:style>
  <w:style w:type="paragraph" w:styleId="7">
    <w:name w:val="heading 6"/>
    <w:basedOn w:val="1"/>
    <w:next w:val="1"/>
    <w:qFormat/>
    <w:uiPriority w:val="9"/>
    <w:pPr>
      <w:keepNext/>
      <w:keepLines/>
      <w:spacing w:before="240" w:after="64" w:line="320" w:lineRule="auto"/>
      <w:outlineLvl w:val="5"/>
    </w:pPr>
    <w:rPr>
      <w:rFonts w:ascii="Cambria" w:hAnsi="Cambria"/>
      <w:b/>
      <w:bCs/>
      <w:sz w:val="24"/>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spacing w:line="360" w:lineRule="auto"/>
      <w:ind w:left="440" w:leftChars="200" w:right="440" w:rightChars="200"/>
    </w:pPr>
    <w:rPr>
      <w:sz w:val="24"/>
      <w:szCs w:val="23"/>
    </w:rPr>
  </w:style>
  <w:style w:type="paragraph" w:styleId="8">
    <w:name w:val="caption"/>
    <w:basedOn w:val="1"/>
    <w:next w:val="1"/>
    <w:qFormat/>
    <w:uiPriority w:val="35"/>
    <w:pPr>
      <w:ind w:firstLine="200" w:firstLineChars="200"/>
      <w:jc w:val="center"/>
    </w:pPr>
    <w:rPr>
      <w:rFonts w:ascii="Calibri Light" w:hAnsi="Calibri Light" w:eastAsia="黑体"/>
      <w:sz w:val="20"/>
      <w:szCs w:val="20"/>
    </w:rPr>
  </w:style>
  <w:style w:type="paragraph" w:styleId="9">
    <w:name w:val="annotation text"/>
    <w:basedOn w:val="1"/>
    <w:link w:val="33"/>
    <w:qFormat/>
    <w:uiPriority w:val="99"/>
    <w:pPr>
      <w:jc w:val="left"/>
    </w:pPr>
  </w:style>
  <w:style w:type="paragraph" w:styleId="10">
    <w:name w:val="Body Text Indent"/>
    <w:basedOn w:val="1"/>
    <w:semiHidden/>
    <w:unhideWhenUsed/>
    <w:qFormat/>
    <w:uiPriority w:val="99"/>
    <w:pPr>
      <w:spacing w:after="120"/>
      <w:ind w:left="420" w:leftChars="200"/>
    </w:pPr>
  </w:style>
  <w:style w:type="paragraph" w:styleId="11">
    <w:name w:val="footer"/>
    <w:basedOn w:val="1"/>
    <w:link w:val="19"/>
    <w:qFormat/>
    <w:uiPriority w:val="99"/>
    <w:pPr>
      <w:tabs>
        <w:tab w:val="center" w:pos="4153"/>
        <w:tab w:val="right" w:pos="8306"/>
      </w:tabs>
      <w:snapToGrid w:val="0"/>
      <w:jc w:val="left"/>
    </w:pPr>
    <w:rPr>
      <w:sz w:val="18"/>
      <w:szCs w:val="18"/>
    </w:rPr>
  </w:style>
  <w:style w:type="paragraph" w:styleId="12">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13">
    <w:name w:val="Body Text First Indent 2"/>
    <w:basedOn w:val="10"/>
    <w:link w:val="34"/>
    <w:unhideWhenUsed/>
    <w:qFormat/>
    <w:uiPriority w:val="99"/>
    <w:pPr>
      <w:ind w:firstLine="420" w:firstLineChars="200"/>
    </w:p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annotation reference"/>
    <w:basedOn w:val="16"/>
    <w:qFormat/>
    <w:uiPriority w:val="99"/>
    <w:rPr>
      <w:sz w:val="21"/>
      <w:szCs w:val="21"/>
    </w:rPr>
  </w:style>
  <w:style w:type="character" w:customStyle="1" w:styleId="18">
    <w:name w:val="标题 1 Char"/>
    <w:link w:val="2"/>
    <w:qFormat/>
    <w:uiPriority w:val="0"/>
    <w:rPr>
      <w:b/>
      <w:bCs/>
      <w:kern w:val="44"/>
      <w:sz w:val="44"/>
      <w:szCs w:val="44"/>
    </w:rPr>
  </w:style>
  <w:style w:type="character" w:customStyle="1" w:styleId="19">
    <w:name w:val="页脚 Char"/>
    <w:link w:val="11"/>
    <w:qFormat/>
    <w:uiPriority w:val="99"/>
    <w:rPr>
      <w:kern w:val="2"/>
      <w:sz w:val="18"/>
      <w:szCs w:val="18"/>
    </w:rPr>
  </w:style>
  <w:style w:type="character" w:customStyle="1" w:styleId="20">
    <w:name w:val="页眉 Char"/>
    <w:link w:val="12"/>
    <w:qFormat/>
    <w:uiPriority w:val="99"/>
    <w:rPr>
      <w:kern w:val="2"/>
      <w:sz w:val="18"/>
      <w:szCs w:val="18"/>
    </w:rPr>
  </w:style>
  <w:style w:type="paragraph" w:customStyle="1" w:styleId="21">
    <w:name w:val="列出段落1"/>
    <w:basedOn w:val="1"/>
    <w:qFormat/>
    <w:uiPriority w:val="0"/>
    <w:pPr>
      <w:ind w:firstLine="420" w:firstLineChars="200"/>
    </w:pPr>
  </w:style>
  <w:style w:type="paragraph" w:customStyle="1" w:styleId="22">
    <w:name w:val="一、标题"/>
    <w:basedOn w:val="1"/>
    <w:link w:val="23"/>
    <w:qFormat/>
    <w:uiPriority w:val="0"/>
    <w:pPr>
      <w:numPr>
        <w:ilvl w:val="0"/>
        <w:numId w:val="1"/>
      </w:numPr>
      <w:jc w:val="left"/>
    </w:pPr>
    <w:rPr>
      <w:rFonts w:ascii="宋体" w:hAnsi="宋体" w:cs="宋体"/>
      <w:sz w:val="30"/>
      <w:szCs w:val="30"/>
    </w:rPr>
  </w:style>
  <w:style w:type="character" w:customStyle="1" w:styleId="23">
    <w:name w:val="一、标题 字符"/>
    <w:link w:val="22"/>
    <w:qFormat/>
    <w:uiPriority w:val="0"/>
    <w:rPr>
      <w:rFonts w:ascii="宋体" w:hAnsi="宋体" w:cs="宋体"/>
      <w:kern w:val="2"/>
      <w:sz w:val="30"/>
      <w:szCs w:val="30"/>
    </w:rPr>
  </w:style>
  <w:style w:type="paragraph" w:customStyle="1" w:styleId="24">
    <w:name w:val="文章正文"/>
    <w:basedOn w:val="22"/>
    <w:link w:val="25"/>
    <w:qFormat/>
    <w:uiPriority w:val="0"/>
    <w:pPr>
      <w:numPr>
        <w:numId w:val="0"/>
      </w:numPr>
      <w:jc w:val="both"/>
    </w:pPr>
    <w:rPr>
      <w:sz w:val="28"/>
    </w:rPr>
  </w:style>
  <w:style w:type="character" w:customStyle="1" w:styleId="25">
    <w:name w:val="文章正文 字符"/>
    <w:link w:val="24"/>
    <w:qFormat/>
    <w:uiPriority w:val="0"/>
    <w:rPr>
      <w:rFonts w:eastAsia="宋体"/>
      <w:sz w:val="28"/>
    </w:rPr>
  </w:style>
  <w:style w:type="paragraph" w:styleId="26">
    <w:name w:val="List Paragraph"/>
    <w:basedOn w:val="1"/>
    <w:link w:val="27"/>
    <w:qFormat/>
    <w:uiPriority w:val="34"/>
    <w:pPr>
      <w:ind w:firstLine="420" w:firstLineChars="200"/>
    </w:pPr>
    <w:rPr>
      <w:rFonts w:ascii="宋体" w:hAnsi="Calibri"/>
      <w:szCs w:val="22"/>
    </w:rPr>
  </w:style>
  <w:style w:type="character" w:customStyle="1" w:styleId="27">
    <w:name w:val="列出段落 Char"/>
    <w:link w:val="26"/>
    <w:qFormat/>
    <w:uiPriority w:val="34"/>
    <w:rPr>
      <w:rFonts w:ascii="宋体" w:hAnsi="Calibri"/>
      <w:kern w:val="2"/>
      <w:sz w:val="21"/>
      <w:szCs w:val="22"/>
    </w:rPr>
  </w:style>
  <w:style w:type="paragraph" w:customStyle="1" w:styleId="28">
    <w:name w:val="图"/>
    <w:basedOn w:val="26"/>
    <w:link w:val="29"/>
    <w:qFormat/>
    <w:uiPriority w:val="0"/>
    <w:pPr>
      <w:ind w:left="902" w:firstLine="0" w:firstLineChars="0"/>
      <w:jc w:val="center"/>
    </w:pPr>
    <w:rPr>
      <w:rFonts w:hAnsi="宋体"/>
      <w:sz w:val="30"/>
      <w:szCs w:val="30"/>
    </w:rPr>
  </w:style>
  <w:style w:type="character" w:customStyle="1" w:styleId="29">
    <w:name w:val="图 字符"/>
    <w:link w:val="28"/>
    <w:qFormat/>
    <w:uiPriority w:val="0"/>
    <w:rPr>
      <w:rFonts w:ascii="宋体" w:hAnsi="宋体"/>
      <w:kern w:val="2"/>
      <w:sz w:val="30"/>
      <w:szCs w:val="30"/>
    </w:rPr>
  </w:style>
  <w:style w:type="paragraph" w:customStyle="1" w:styleId="30">
    <w:name w:val="表 靠左"/>
    <w:qFormat/>
    <w:uiPriority w:val="99"/>
    <w:rPr>
      <w:rFonts w:ascii="仿宋_GB2312" w:hAnsi="Times New Roman" w:eastAsia="仿宋_GB2312" w:cs="Times New Roman"/>
      <w:kern w:val="2"/>
      <w:sz w:val="24"/>
      <w:szCs w:val="22"/>
      <w:lang w:val="en-US" w:eastAsia="zh-CN" w:bidi="ar-SA"/>
    </w:rPr>
  </w:style>
  <w:style w:type="paragraph" w:customStyle="1" w:styleId="31">
    <w:name w:val="Table Paragraph"/>
    <w:basedOn w:val="1"/>
    <w:qFormat/>
    <w:uiPriority w:val="1"/>
    <w:rPr>
      <w:rFonts w:ascii="宋体" w:hAnsi="宋体" w:cs="宋体"/>
      <w:lang w:val="zh-CN" w:bidi="zh-CN"/>
    </w:rPr>
  </w:style>
  <w:style w:type="paragraph" w:customStyle="1" w:styleId="32">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33">
    <w:name w:val="批注文字 Char"/>
    <w:basedOn w:val="16"/>
    <w:link w:val="9"/>
    <w:qFormat/>
    <w:uiPriority w:val="99"/>
    <w:rPr>
      <w:kern w:val="2"/>
      <w:sz w:val="21"/>
      <w:szCs w:val="24"/>
    </w:rPr>
  </w:style>
  <w:style w:type="character" w:customStyle="1" w:styleId="34">
    <w:name w:val="正文首行缩进 2 Char"/>
    <w:basedOn w:val="16"/>
    <w:link w:val="13"/>
    <w:qFormat/>
    <w:uiPriority w:val="99"/>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0487E3-A1AC-49D3-943F-B8153135D2C8}">
  <ds:schemaRefs/>
</ds:datastoreItem>
</file>

<file path=docProps/app.xml><?xml version="1.0" encoding="utf-8"?>
<Properties xmlns="http://schemas.openxmlformats.org/officeDocument/2006/extended-properties" xmlns:vt="http://schemas.openxmlformats.org/officeDocument/2006/docPropsVTypes">
  <Template>Normal</Template>
  <Pages>9</Pages>
  <Words>4847</Words>
  <Characters>5064</Characters>
  <Lines>36</Lines>
  <Paragraphs>10</Paragraphs>
  <TotalTime>0</TotalTime>
  <ScaleCrop>false</ScaleCrop>
  <LinksUpToDate>false</LinksUpToDate>
  <CharactersWithSpaces>5179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2023-04-15T06:20:00Z</dcterms:created>
  <dc:creator>Administrator</dc:creator>
  <cp:lastModifiedBy>TRQ</cp:lastModifiedBy>
  <cp:lastPrinted>2019-11-16T04:47:00Z</cp:lastPrinted>
  <dcterms:modified xsi:type="dcterms:W3CDTF">2023-04-23T03:37:23Z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CC28A5F9A1E848B18F153A5D1AB5C709_13</vt:lpwstr>
  </property>
</Properties>
</file>